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93432" w14:textId="7908878C" w:rsidR="00280DD1" w:rsidRDefault="001C7608" w:rsidP="00280DD1">
      <w:pPr>
        <w:pStyle w:val="3GPPHeader"/>
        <w:spacing w:after="60"/>
        <w:rPr>
          <w:sz w:val="32"/>
          <w:szCs w:val="32"/>
          <w:highlight w:val="yellow"/>
        </w:rPr>
      </w:pPr>
      <w:r>
        <w:t xml:space="preserve">3GPP TSG-RAN WG2 </w:t>
      </w:r>
      <w:r w:rsidR="00824B37">
        <w:t>#103</w:t>
      </w:r>
      <w:r w:rsidR="00280DD1">
        <w:tab/>
      </w:r>
      <w:proofErr w:type="spellStart"/>
      <w:r w:rsidR="00280DD1">
        <w:rPr>
          <w:sz w:val="32"/>
          <w:szCs w:val="32"/>
        </w:rPr>
        <w:t>Tdoc</w:t>
      </w:r>
      <w:proofErr w:type="spellEnd"/>
      <w:r w:rsidR="00280DD1">
        <w:rPr>
          <w:sz w:val="32"/>
          <w:szCs w:val="32"/>
        </w:rPr>
        <w:t xml:space="preserve"> R2-1</w:t>
      </w:r>
      <w:r w:rsidR="007250B8">
        <w:rPr>
          <w:sz w:val="32"/>
          <w:szCs w:val="32"/>
        </w:rPr>
        <w:t>812070</w:t>
      </w:r>
    </w:p>
    <w:p w14:paraId="50043615" w14:textId="4BAE6848" w:rsidR="00280DD1" w:rsidRDefault="00824B37" w:rsidP="00280DD1">
      <w:pPr>
        <w:pStyle w:val="3GPPHeader"/>
      </w:pPr>
      <w:r>
        <w:t>Gothenburg</w:t>
      </w:r>
      <w:r w:rsidR="00280DD1">
        <w:t xml:space="preserve">, </w:t>
      </w:r>
      <w:r>
        <w:t>Sweden,</w:t>
      </w:r>
      <w:r w:rsidR="00280DD1">
        <w:t xml:space="preserve"> 2</w:t>
      </w:r>
      <w:r>
        <w:t>0</w:t>
      </w:r>
      <w:r w:rsidR="00E95FD5" w:rsidRPr="00E95FD5">
        <w:rPr>
          <w:vertAlign w:val="superscript"/>
        </w:rPr>
        <w:t xml:space="preserve"> </w:t>
      </w:r>
      <w:proofErr w:type="spellStart"/>
      <w:r w:rsidR="00E95FD5">
        <w:rPr>
          <w:vertAlign w:val="superscript"/>
        </w:rPr>
        <w:t>th</w:t>
      </w:r>
      <w:proofErr w:type="spellEnd"/>
      <w:r w:rsidR="00E95FD5">
        <w:t xml:space="preserve"> </w:t>
      </w:r>
      <w:r w:rsidR="00280DD1">
        <w:t>–</w:t>
      </w:r>
      <w:r w:rsidR="001C7608">
        <w:t>2</w:t>
      </w:r>
      <w:r>
        <w:t>4</w:t>
      </w:r>
      <w:r w:rsidR="00E95FD5" w:rsidRPr="00E95FD5">
        <w:rPr>
          <w:vertAlign w:val="superscript"/>
        </w:rPr>
        <w:t xml:space="preserve"> </w:t>
      </w:r>
      <w:proofErr w:type="spellStart"/>
      <w:r w:rsidR="00E95FD5">
        <w:rPr>
          <w:vertAlign w:val="superscript"/>
        </w:rPr>
        <w:t>th</w:t>
      </w:r>
      <w:proofErr w:type="spellEnd"/>
      <w:r w:rsidR="001C7608">
        <w:t xml:space="preserve"> </w:t>
      </w:r>
      <w:r>
        <w:t>August</w:t>
      </w:r>
      <w:r w:rsidR="00280DD1">
        <w:t xml:space="preserve"> 201</w:t>
      </w:r>
      <w:r w:rsidR="001C7608">
        <w:t>8</w:t>
      </w:r>
    </w:p>
    <w:p w14:paraId="4C9BAE40" w14:textId="77777777" w:rsidR="00E90E49" w:rsidRPr="00CE0424" w:rsidRDefault="00E90E49" w:rsidP="00357380">
      <w:pPr>
        <w:pStyle w:val="3GPPHeader"/>
      </w:pPr>
    </w:p>
    <w:p w14:paraId="0B78B94D" w14:textId="77777777" w:rsidR="00E90E49" w:rsidRPr="00824B37" w:rsidRDefault="00E90E49" w:rsidP="00311702">
      <w:pPr>
        <w:pStyle w:val="3GPPHeader"/>
        <w:rPr>
          <w:sz w:val="22"/>
          <w:szCs w:val="22"/>
          <w:lang w:val="en-US"/>
        </w:rPr>
      </w:pPr>
      <w:r w:rsidRPr="00824B37">
        <w:rPr>
          <w:sz w:val="22"/>
          <w:szCs w:val="22"/>
          <w:lang w:val="en-US"/>
        </w:rPr>
        <w:t>Agenda Item:</w:t>
      </w:r>
      <w:r w:rsidRPr="00824B37">
        <w:rPr>
          <w:sz w:val="22"/>
          <w:szCs w:val="22"/>
          <w:lang w:val="en-US"/>
        </w:rPr>
        <w:tab/>
      </w:r>
      <w:r w:rsidR="00824B37" w:rsidRPr="00524EF2">
        <w:rPr>
          <w:sz w:val="22"/>
          <w:szCs w:val="22"/>
          <w:lang w:val="en-US"/>
        </w:rPr>
        <w:t>9.18.5</w:t>
      </w:r>
    </w:p>
    <w:p w14:paraId="31696F9A" w14:textId="62B6A395"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C8448A">
        <w:rPr>
          <w:sz w:val="22"/>
          <w:szCs w:val="22"/>
        </w:rPr>
        <w:t xml:space="preserve">, NTT Docomo, </w:t>
      </w:r>
      <w:r w:rsidR="00C8448A">
        <w:rPr>
          <w:lang w:val="en-US"/>
        </w:rPr>
        <w:t>Nokia, Nokia Shanghai Bell</w:t>
      </w:r>
    </w:p>
    <w:p w14:paraId="34EB3C5D" w14:textId="7206ACE3" w:rsidR="00E90E49" w:rsidRPr="00CE0424" w:rsidRDefault="003D3C45" w:rsidP="00311702">
      <w:pPr>
        <w:pStyle w:val="3GPPHeader"/>
        <w:rPr>
          <w:sz w:val="22"/>
          <w:szCs w:val="22"/>
        </w:rPr>
      </w:pPr>
      <w:r>
        <w:rPr>
          <w:sz w:val="22"/>
          <w:szCs w:val="22"/>
        </w:rPr>
        <w:t>Title:</w:t>
      </w:r>
      <w:r w:rsidR="00E90E49" w:rsidRPr="00CE0424">
        <w:rPr>
          <w:sz w:val="22"/>
          <w:szCs w:val="22"/>
        </w:rPr>
        <w:tab/>
      </w:r>
      <w:r w:rsidR="00824B37" w:rsidRPr="00E820A7">
        <w:rPr>
          <w:sz w:val="22"/>
          <w:szCs w:val="22"/>
        </w:rPr>
        <w:t>Aerial UE capability</w:t>
      </w:r>
    </w:p>
    <w:p w14:paraId="3F779852"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111EBD">
        <w:rPr>
          <w:sz w:val="22"/>
          <w:szCs w:val="22"/>
        </w:rPr>
        <w:t>Discussion, Decision</w:t>
      </w:r>
    </w:p>
    <w:p w14:paraId="131DAA6F" w14:textId="77777777" w:rsidR="00C24345" w:rsidRDefault="00E90E49" w:rsidP="00A2052C">
      <w:pPr>
        <w:pStyle w:val="Heading1"/>
      </w:pPr>
      <w:r w:rsidRPr="00CE0424">
        <w:t>Introduction</w:t>
      </w:r>
    </w:p>
    <w:p w14:paraId="41C4421E" w14:textId="7B298170" w:rsidR="00824B37" w:rsidRPr="00A2052C" w:rsidRDefault="00824B37" w:rsidP="00A2052C">
      <w:r>
        <w:t xml:space="preserve">While </w:t>
      </w:r>
      <w:r w:rsidR="0009689D">
        <w:t xml:space="preserve">the main part of the </w:t>
      </w:r>
      <w:r w:rsidR="00520F12">
        <w:t>WI was concluded</w:t>
      </w:r>
      <w:r>
        <w:t xml:space="preserve">, there is still </w:t>
      </w:r>
      <w:r w:rsidR="00216A64">
        <w:t xml:space="preserve">an </w:t>
      </w:r>
      <w:r>
        <w:t xml:space="preserve">open issue </w:t>
      </w:r>
      <w:r w:rsidR="00BB6F91">
        <w:t xml:space="preserve">on capability, in particular about </w:t>
      </w:r>
      <w:r>
        <w:t xml:space="preserve">capability </w:t>
      </w:r>
      <w:proofErr w:type="spellStart"/>
      <w:r>
        <w:t>signaling</w:t>
      </w:r>
      <w:proofErr w:type="spellEnd"/>
      <w:r>
        <w:t xml:space="preserve"> and </w:t>
      </w:r>
      <w:r w:rsidR="00BB6F91">
        <w:t xml:space="preserve">which features are mandatory/optional </w:t>
      </w:r>
      <w:r>
        <w:t xml:space="preserve">for Aerial UE function. This document discusses capabilities </w:t>
      </w:r>
      <w:r w:rsidR="00022956">
        <w:t xml:space="preserve">related with </w:t>
      </w:r>
      <w:r>
        <w:t xml:space="preserve">Aerial UE function.  </w:t>
      </w:r>
    </w:p>
    <w:p w14:paraId="21295CDB" w14:textId="77777777" w:rsidR="004000E8" w:rsidRDefault="004000E8" w:rsidP="00CE0424">
      <w:pPr>
        <w:pStyle w:val="Heading1"/>
      </w:pPr>
      <w:bookmarkStart w:id="0" w:name="_Ref178064866"/>
      <w:r w:rsidRPr="00CE0424">
        <w:t>Discussion</w:t>
      </w:r>
      <w:bookmarkEnd w:id="0"/>
    </w:p>
    <w:p w14:paraId="28A53C78" w14:textId="555F5A13" w:rsidR="00420790" w:rsidRDefault="00420790" w:rsidP="00420790">
      <w:r>
        <w:t xml:space="preserve">A set of features were introduced in </w:t>
      </w:r>
      <w:r w:rsidR="0023401F">
        <w:t>R</w:t>
      </w:r>
      <w:r>
        <w:t>elease 15 for aerial UEs</w:t>
      </w:r>
      <w:r w:rsidR="0023401F">
        <w:t xml:space="preserve">. </w:t>
      </w:r>
      <w:r>
        <w:t xml:space="preserve">While the features are tailored for the communication with aerial vehicles, we believe that all features can potentially be useful for other types of UEs. Features such as number of triggered cells, UE specific power control etc, are all features that can be applied to UEs in high-interference scenarios. They should thus be optional for all UEs and should be signalled independently with each feature having one capability-field in </w:t>
      </w:r>
      <w:r w:rsidR="00895344">
        <w:t>RRC</w:t>
      </w:r>
      <w:r>
        <w:t xml:space="preserve">. </w:t>
      </w:r>
    </w:p>
    <w:p w14:paraId="660D7F6A" w14:textId="09301AD1" w:rsidR="00420790" w:rsidRPr="00CE0424" w:rsidRDefault="00420790" w:rsidP="00420790">
      <w:pPr>
        <w:pStyle w:val="Observation"/>
      </w:pPr>
      <w:bookmarkStart w:id="1" w:name="_Toc521053076"/>
      <w:bookmarkStart w:id="2" w:name="_Toc521591245"/>
      <w:r>
        <w:t xml:space="preserve">Most </w:t>
      </w:r>
      <w:r w:rsidR="0023401F">
        <w:t>R</w:t>
      </w:r>
      <w:r>
        <w:t>el-15 aerial features can potentially be useful for other non-aerial UEs.</w:t>
      </w:r>
      <w:bookmarkEnd w:id="1"/>
      <w:bookmarkEnd w:id="2"/>
      <w:r>
        <w:t xml:space="preserve"> </w:t>
      </w:r>
    </w:p>
    <w:p w14:paraId="2EDDEBB6" w14:textId="2C8652AD" w:rsidR="00420790" w:rsidRDefault="00420790" w:rsidP="00420790">
      <w:pPr>
        <w:pStyle w:val="Proposal"/>
      </w:pPr>
      <w:bookmarkStart w:id="3" w:name="_Toc521324957"/>
      <w:bookmarkStart w:id="4" w:name="_Toc521591169"/>
      <w:r>
        <w:t xml:space="preserve">Features introduced in </w:t>
      </w:r>
      <w:r>
        <w:rPr>
          <w:noProof/>
        </w:rPr>
        <w:t>LTE_Aerial</w:t>
      </w:r>
      <w:r w:rsidR="00381BB2">
        <w:rPr>
          <w:noProof/>
        </w:rPr>
        <w:t>-Core</w:t>
      </w:r>
      <w:r>
        <w:t xml:space="preserve"> are optional for </w:t>
      </w:r>
      <w:r w:rsidR="00381BB2">
        <w:t>R</w:t>
      </w:r>
      <w:r>
        <w:t>el-15 UEs</w:t>
      </w:r>
      <w:r w:rsidR="00381BB2">
        <w:t xml:space="preserve"> not supporting Aerial functionality</w:t>
      </w:r>
      <w:r>
        <w:t>.</w:t>
      </w:r>
      <w:bookmarkEnd w:id="3"/>
      <w:bookmarkEnd w:id="4"/>
      <w:r>
        <w:t xml:space="preserve"> </w:t>
      </w:r>
    </w:p>
    <w:p w14:paraId="0EF6AF06" w14:textId="77777777" w:rsidR="00420790" w:rsidRPr="00420790" w:rsidRDefault="00420790" w:rsidP="00420790"/>
    <w:p w14:paraId="0EECCABC" w14:textId="33172417" w:rsidR="00CE0424" w:rsidRDefault="000E6F13" w:rsidP="00CE0424">
      <w:pPr>
        <w:pStyle w:val="Heading2"/>
      </w:pPr>
      <w:r>
        <w:t>Mandatory features</w:t>
      </w:r>
    </w:p>
    <w:p w14:paraId="367CE274" w14:textId="77777777" w:rsidR="00A93CD7" w:rsidRDefault="00A93CD7" w:rsidP="00A93CD7">
      <w:r>
        <w:t>As discussed by several companies, there are several reasons why the Aerial UE should be treated differently compared to the ground UEs and for clarity, some of them are reiterated below:</w:t>
      </w:r>
    </w:p>
    <w:p w14:paraId="70085B7C" w14:textId="77777777" w:rsidR="00A93CD7" w:rsidRDefault="00A93CD7" w:rsidP="00A93CD7">
      <w:pPr>
        <w:pStyle w:val="ListParagraph"/>
        <w:numPr>
          <w:ilvl w:val="0"/>
          <w:numId w:val="16"/>
        </w:numPr>
      </w:pPr>
      <w:r>
        <w:t xml:space="preserve">Ability for network to provide service better tailored to the aerial channel. </w:t>
      </w:r>
    </w:p>
    <w:p w14:paraId="0BAA9664" w14:textId="77777777" w:rsidR="00A93CD7" w:rsidRDefault="00A93CD7" w:rsidP="00A93CD7">
      <w:pPr>
        <w:pStyle w:val="ListParagraph"/>
        <w:numPr>
          <w:ilvl w:val="0"/>
          <w:numId w:val="16"/>
        </w:numPr>
      </w:pPr>
      <w:r>
        <w:t xml:space="preserve">Protect the network from the interference from Aerial UEs. </w:t>
      </w:r>
    </w:p>
    <w:p w14:paraId="2A583500" w14:textId="77777777" w:rsidR="00A93CD7" w:rsidRDefault="00A93CD7" w:rsidP="00A93CD7">
      <w:pPr>
        <w:pStyle w:val="ListParagraph"/>
        <w:numPr>
          <w:ilvl w:val="0"/>
          <w:numId w:val="16"/>
        </w:numPr>
      </w:pPr>
      <w:r>
        <w:t xml:space="preserve">Regulatory purposes relating to height and/or position of Aerial UE. </w:t>
      </w:r>
    </w:p>
    <w:p w14:paraId="14F5FD18" w14:textId="77777777" w:rsidR="00A93CD7" w:rsidRDefault="00A93CD7" w:rsidP="00A93CD7">
      <w:pPr>
        <w:pStyle w:val="ListParagraph"/>
        <w:numPr>
          <w:ilvl w:val="0"/>
          <w:numId w:val="16"/>
        </w:numPr>
      </w:pPr>
      <w:r>
        <w:t>The network wanting to have different subscription fees due to 1) and 2).</w:t>
      </w:r>
    </w:p>
    <w:p w14:paraId="3BFB4F1F" w14:textId="1192FD32" w:rsidR="00A93CD7" w:rsidRDefault="00A93CD7" w:rsidP="00A93CD7">
      <w:r>
        <w:t xml:space="preserve">In SA2, the subscription in HSS and transfer to MME was defined and in RAN3 the transfer of Aerial UE subscription information over S1 and X2 was defined; thus mechanism to identify an Aerial UE </w:t>
      </w:r>
      <w:r w:rsidR="00381BB2">
        <w:t xml:space="preserve">subscription </w:t>
      </w:r>
      <w:r>
        <w:t xml:space="preserve">is already in place from the core network. It is thus important that this subscription is mapped into something useful in the </w:t>
      </w:r>
      <w:proofErr w:type="spellStart"/>
      <w:r>
        <w:t>eNodeB</w:t>
      </w:r>
      <w:proofErr w:type="spellEnd"/>
      <w:r>
        <w:t xml:space="preserve">, such as mandatory features. </w:t>
      </w:r>
    </w:p>
    <w:p w14:paraId="5EA38AE3" w14:textId="2940F021" w:rsidR="00C674EF" w:rsidRPr="00CE0424" w:rsidRDefault="007F73FC" w:rsidP="007F73FC">
      <w:pPr>
        <w:pStyle w:val="Observation"/>
      </w:pPr>
      <w:bookmarkStart w:id="5" w:name="_Toc521591246"/>
      <w:r w:rsidRPr="007F73FC">
        <w:t>eNB supporting Aerial UE function handling uses the per user information supplied by the MME to determine whether or not to allow the UE to use Aerial UE function</w:t>
      </w:r>
      <w:r w:rsidR="00C674EF">
        <w:t>.</w:t>
      </w:r>
      <w:bookmarkEnd w:id="5"/>
      <w:r w:rsidR="00C674EF">
        <w:t xml:space="preserve"> </w:t>
      </w:r>
    </w:p>
    <w:p w14:paraId="42F91527" w14:textId="77777777" w:rsidR="00C674EF" w:rsidRDefault="00C674EF" w:rsidP="00A93CD7"/>
    <w:p w14:paraId="5FBD4E6B" w14:textId="55ED988C" w:rsidR="000E6F13" w:rsidRDefault="00467605" w:rsidP="000E6F13">
      <w:r>
        <w:t>W</w:t>
      </w:r>
      <w:r w:rsidR="00CC6B9B">
        <w:t xml:space="preserve">e do believe that </w:t>
      </w:r>
      <w:r w:rsidR="007236EE">
        <w:t xml:space="preserve">for eNB to allow UE to use Aerial UE function, </w:t>
      </w:r>
      <w:r w:rsidR="00CC6B9B">
        <w:t xml:space="preserve">some features would be crucial. </w:t>
      </w:r>
      <w:r w:rsidR="000471F4">
        <w:t>Below we list the introduced feature and the corresponding view on whether it should be mandatory/optional.</w:t>
      </w:r>
    </w:p>
    <w:tbl>
      <w:tblPr>
        <w:tblStyle w:val="TableGrid"/>
        <w:tblW w:w="6524" w:type="dxa"/>
        <w:jc w:val="center"/>
        <w:tblLook w:val="04A0" w:firstRow="1" w:lastRow="0" w:firstColumn="1" w:lastColumn="0" w:noHBand="0" w:noVBand="1"/>
      </w:tblPr>
      <w:tblGrid>
        <w:gridCol w:w="2838"/>
        <w:gridCol w:w="3686"/>
      </w:tblGrid>
      <w:tr w:rsidR="00F80BBD" w:rsidRPr="00257E32" w14:paraId="398FE28C" w14:textId="16150500" w:rsidTr="00F80BBD">
        <w:trPr>
          <w:jc w:val="center"/>
        </w:trPr>
        <w:tc>
          <w:tcPr>
            <w:tcW w:w="2838" w:type="dxa"/>
            <w:shd w:val="clear" w:color="auto" w:fill="D9D9D9" w:themeFill="background1" w:themeFillShade="D9"/>
          </w:tcPr>
          <w:p w14:paraId="7C765A93" w14:textId="77777777" w:rsidR="00F80BBD" w:rsidRPr="00C861DD" w:rsidRDefault="00F80BBD" w:rsidP="00C70235">
            <w:pPr>
              <w:pStyle w:val="BodyText"/>
              <w:rPr>
                <w:rFonts w:cs="Arial"/>
                <w:sz w:val="20"/>
                <w:szCs w:val="20"/>
                <w:lang w:val="en-US"/>
              </w:rPr>
            </w:pPr>
            <w:r w:rsidRPr="00C861DD">
              <w:rPr>
                <w:rFonts w:cs="Arial"/>
                <w:sz w:val="20"/>
                <w:szCs w:val="20"/>
                <w:lang w:val="en-US"/>
              </w:rPr>
              <w:t>Agreed features</w:t>
            </w:r>
          </w:p>
        </w:tc>
        <w:tc>
          <w:tcPr>
            <w:tcW w:w="3686" w:type="dxa"/>
            <w:shd w:val="clear" w:color="auto" w:fill="D9D9D9" w:themeFill="background1" w:themeFillShade="D9"/>
          </w:tcPr>
          <w:p w14:paraId="637DB555" w14:textId="77777777" w:rsidR="00F80BBD" w:rsidRPr="00C861DD" w:rsidRDefault="00F80BBD" w:rsidP="00C70235">
            <w:pPr>
              <w:pStyle w:val="BodyText"/>
              <w:rPr>
                <w:rFonts w:cs="Arial"/>
                <w:sz w:val="20"/>
                <w:szCs w:val="20"/>
                <w:lang w:val="en-US"/>
              </w:rPr>
            </w:pPr>
            <w:r w:rsidRPr="00C861DD">
              <w:rPr>
                <w:rFonts w:cs="Arial"/>
                <w:sz w:val="20"/>
                <w:szCs w:val="20"/>
                <w:lang w:val="en-US"/>
              </w:rPr>
              <w:t>Mandatory/Optional</w:t>
            </w:r>
          </w:p>
        </w:tc>
      </w:tr>
      <w:tr w:rsidR="00F80BBD" w:rsidRPr="00257E32" w14:paraId="249CD565" w14:textId="22E952A6" w:rsidTr="00F80BBD">
        <w:trPr>
          <w:jc w:val="center"/>
        </w:trPr>
        <w:tc>
          <w:tcPr>
            <w:tcW w:w="2838" w:type="dxa"/>
          </w:tcPr>
          <w:p w14:paraId="5FF2EBD9" w14:textId="0312B0EA" w:rsidR="00F80BBD" w:rsidRPr="00C861DD" w:rsidRDefault="00F80BBD" w:rsidP="00C70235">
            <w:pPr>
              <w:pStyle w:val="BodyText"/>
              <w:rPr>
                <w:rFonts w:cs="Arial"/>
                <w:lang w:val="en-US"/>
              </w:rPr>
            </w:pPr>
            <w:r w:rsidRPr="00C861DD">
              <w:rPr>
                <w:rFonts w:cs="Arial"/>
                <w:sz w:val="20"/>
                <w:szCs w:val="20"/>
                <w:lang w:val="en-US"/>
              </w:rPr>
              <w:lastRenderedPageBreak/>
              <w:t xml:space="preserve">Measurement reporting based on height (i.e., event is fulfilled when the height </w:t>
            </w:r>
            <w:r>
              <w:rPr>
                <w:rFonts w:cs="Arial"/>
                <w:sz w:val="20"/>
                <w:szCs w:val="20"/>
                <w:lang w:val="en-US"/>
              </w:rPr>
              <w:t xml:space="preserve">is across </w:t>
            </w:r>
            <w:r w:rsidRPr="00C861DD">
              <w:rPr>
                <w:rFonts w:cs="Arial"/>
                <w:sz w:val="20"/>
                <w:szCs w:val="20"/>
                <w:lang w:val="en-US"/>
              </w:rPr>
              <w:t>a threshold)</w:t>
            </w:r>
          </w:p>
        </w:tc>
        <w:tc>
          <w:tcPr>
            <w:tcW w:w="3686" w:type="dxa"/>
          </w:tcPr>
          <w:p w14:paraId="054EDF9E" w14:textId="77777777" w:rsidR="00F80BBD" w:rsidRPr="00582B69" w:rsidRDefault="00F80BBD" w:rsidP="00C70235">
            <w:pPr>
              <w:pStyle w:val="BodyText"/>
              <w:rPr>
                <w:rFonts w:cs="Arial"/>
                <w:lang w:val="en-US"/>
              </w:rPr>
            </w:pPr>
            <w:r w:rsidRPr="00C861DD">
              <w:rPr>
                <w:rFonts w:cs="Arial"/>
                <w:sz w:val="20"/>
                <w:szCs w:val="20"/>
                <w:lang w:val="en-US"/>
              </w:rPr>
              <w:t>Mandatory. This feature is essential for allowing network-control of aerial UEs, which directly ties to future regulations.</w:t>
            </w:r>
          </w:p>
        </w:tc>
      </w:tr>
      <w:tr w:rsidR="00F80BBD" w:rsidRPr="00257E32" w14:paraId="10B35404" w14:textId="7F858EB2" w:rsidTr="00F80BBD">
        <w:trPr>
          <w:jc w:val="center"/>
        </w:trPr>
        <w:tc>
          <w:tcPr>
            <w:tcW w:w="2838" w:type="dxa"/>
          </w:tcPr>
          <w:p w14:paraId="2FB33BD0" w14:textId="67EB0131" w:rsidR="00F80BBD" w:rsidRPr="00C861DD" w:rsidRDefault="00F80BBD" w:rsidP="00C70235">
            <w:pPr>
              <w:pStyle w:val="BodyText"/>
              <w:rPr>
                <w:rFonts w:cs="Arial"/>
                <w:sz w:val="20"/>
                <w:szCs w:val="20"/>
                <w:lang w:val="en-US"/>
              </w:rPr>
            </w:pPr>
            <w:r w:rsidRPr="00C861DD">
              <w:rPr>
                <w:rFonts w:cs="Arial"/>
                <w:sz w:val="20"/>
                <w:szCs w:val="20"/>
                <w:lang w:val="en-US"/>
              </w:rPr>
              <w:t>Su</w:t>
            </w:r>
            <w:r>
              <w:rPr>
                <w:rFonts w:cs="Arial"/>
                <w:sz w:val="20"/>
                <w:szCs w:val="20"/>
                <w:lang w:val="en-US"/>
              </w:rPr>
              <w:t>pport number of triggered cells in report configuration (</w:t>
            </w:r>
            <w:proofErr w:type="spellStart"/>
            <w:r>
              <w:rPr>
                <w:rFonts w:cs="Arial"/>
                <w:sz w:val="20"/>
                <w:szCs w:val="20"/>
                <w:lang w:val="en-US"/>
              </w:rPr>
              <w:t>i.e</w:t>
            </w:r>
            <w:proofErr w:type="spellEnd"/>
            <w:r>
              <w:rPr>
                <w:rFonts w:cs="Arial"/>
                <w:sz w:val="20"/>
                <w:szCs w:val="20"/>
                <w:lang w:val="en-US"/>
              </w:rPr>
              <w:t xml:space="preserve"> event is fulfilled if X cells is above a threshold)</w:t>
            </w:r>
          </w:p>
        </w:tc>
        <w:tc>
          <w:tcPr>
            <w:tcW w:w="3686" w:type="dxa"/>
          </w:tcPr>
          <w:p w14:paraId="0A0A7647" w14:textId="77777777" w:rsidR="00F80BBD" w:rsidRPr="00C861DD" w:rsidRDefault="00F80BBD" w:rsidP="00C70235">
            <w:pPr>
              <w:pStyle w:val="BodyText"/>
              <w:rPr>
                <w:rFonts w:cs="Arial"/>
                <w:sz w:val="20"/>
                <w:szCs w:val="20"/>
                <w:lang w:val="en-US"/>
              </w:rPr>
            </w:pPr>
            <w:r>
              <w:rPr>
                <w:rFonts w:cs="Arial"/>
                <w:sz w:val="20"/>
                <w:szCs w:val="20"/>
                <w:lang w:val="en-US"/>
              </w:rPr>
              <w:t>Mandatory. See above</w:t>
            </w:r>
          </w:p>
        </w:tc>
      </w:tr>
      <w:tr w:rsidR="00F80BBD" w:rsidRPr="00257E32" w14:paraId="6DBF65EE" w14:textId="3A7B92D5" w:rsidTr="00F80BBD">
        <w:trPr>
          <w:jc w:val="center"/>
        </w:trPr>
        <w:tc>
          <w:tcPr>
            <w:tcW w:w="2838" w:type="dxa"/>
          </w:tcPr>
          <w:p w14:paraId="4AAACEAE" w14:textId="709F1650" w:rsidR="00F80BBD" w:rsidRPr="00C861DD" w:rsidRDefault="00F80BBD" w:rsidP="00C70235">
            <w:pPr>
              <w:pStyle w:val="BodyText"/>
              <w:rPr>
                <w:rFonts w:cs="Arial"/>
                <w:sz w:val="20"/>
                <w:szCs w:val="20"/>
                <w:lang w:val="en-US"/>
              </w:rPr>
            </w:pPr>
            <w:r w:rsidRPr="00C861DD">
              <w:rPr>
                <w:rFonts w:cs="Arial"/>
                <w:sz w:val="20"/>
                <w:szCs w:val="20"/>
                <w:lang w:val="en-US"/>
              </w:rPr>
              <w:t>Flight path plan</w:t>
            </w:r>
          </w:p>
        </w:tc>
        <w:tc>
          <w:tcPr>
            <w:tcW w:w="3686" w:type="dxa"/>
          </w:tcPr>
          <w:p w14:paraId="2D83E506" w14:textId="05715190" w:rsidR="00F80BBD" w:rsidRPr="00C861DD" w:rsidRDefault="00F80BBD" w:rsidP="00823DB1">
            <w:pPr>
              <w:pStyle w:val="BodyText"/>
              <w:rPr>
                <w:rFonts w:cs="Arial"/>
                <w:sz w:val="20"/>
                <w:szCs w:val="20"/>
                <w:lang w:val="en-US"/>
              </w:rPr>
            </w:pPr>
            <w:r w:rsidRPr="00C861DD">
              <w:rPr>
                <w:rFonts w:cs="Arial"/>
                <w:sz w:val="20"/>
                <w:szCs w:val="20"/>
                <w:lang w:val="en-US"/>
              </w:rPr>
              <w:t>Optional</w:t>
            </w:r>
            <w:r>
              <w:rPr>
                <w:rFonts w:cs="Arial"/>
                <w:sz w:val="20"/>
                <w:szCs w:val="20"/>
                <w:lang w:val="en-US"/>
              </w:rPr>
              <w:t>. The flight path plan might come from the UTM, and i</w:t>
            </w:r>
            <w:r w:rsidRPr="00C861DD">
              <w:rPr>
                <w:rFonts w:cs="Arial"/>
                <w:sz w:val="20"/>
                <w:szCs w:val="20"/>
                <w:lang w:val="en-US"/>
              </w:rPr>
              <w:t xml:space="preserve">t is not clear if all aerials UE have the flight path. </w:t>
            </w:r>
          </w:p>
        </w:tc>
      </w:tr>
      <w:tr w:rsidR="00F80BBD" w:rsidRPr="00257E32" w14:paraId="1D9C0C2C" w14:textId="260A315B" w:rsidTr="00F80BBD">
        <w:trPr>
          <w:jc w:val="center"/>
        </w:trPr>
        <w:tc>
          <w:tcPr>
            <w:tcW w:w="2838" w:type="dxa"/>
          </w:tcPr>
          <w:p w14:paraId="62B65225" w14:textId="2D7171D7" w:rsidR="00F80BBD" w:rsidRPr="00C861DD" w:rsidRDefault="00F80BBD" w:rsidP="00C70235">
            <w:pPr>
              <w:pStyle w:val="BodyText"/>
              <w:rPr>
                <w:rFonts w:cs="Arial"/>
                <w:sz w:val="20"/>
                <w:szCs w:val="20"/>
                <w:lang w:val="en-US"/>
              </w:rPr>
            </w:pPr>
            <w:r>
              <w:rPr>
                <w:rFonts w:cs="Arial"/>
                <w:sz w:val="20"/>
                <w:szCs w:val="20"/>
                <w:lang w:val="en-US"/>
              </w:rPr>
              <w:t>UE-specific power control</w:t>
            </w:r>
            <w:r w:rsidRPr="00C861DD">
              <w:rPr>
                <w:rFonts w:cs="Arial"/>
                <w:sz w:val="20"/>
                <w:szCs w:val="20"/>
                <w:lang w:val="en-US"/>
              </w:rPr>
              <w:t xml:space="preserve"> (RAN1)</w:t>
            </w:r>
          </w:p>
        </w:tc>
        <w:tc>
          <w:tcPr>
            <w:tcW w:w="3686" w:type="dxa"/>
          </w:tcPr>
          <w:p w14:paraId="077A4ADC" w14:textId="77777777" w:rsidR="00F80BBD" w:rsidRPr="00C861DD" w:rsidRDefault="00F80BBD" w:rsidP="00C70235">
            <w:pPr>
              <w:pStyle w:val="BodyText"/>
              <w:rPr>
                <w:rFonts w:cs="Arial"/>
                <w:sz w:val="20"/>
                <w:szCs w:val="20"/>
                <w:lang w:val="en-US"/>
              </w:rPr>
            </w:pPr>
            <w:r>
              <w:rPr>
                <w:rFonts w:cs="Arial"/>
                <w:sz w:val="20"/>
                <w:szCs w:val="20"/>
                <w:lang w:val="en-US"/>
              </w:rPr>
              <w:t xml:space="preserve">Optional. </w:t>
            </w:r>
          </w:p>
        </w:tc>
      </w:tr>
      <w:tr w:rsidR="00F80BBD" w:rsidRPr="00257E32" w14:paraId="0EB4AF53" w14:textId="4215094B" w:rsidTr="00F80BBD">
        <w:trPr>
          <w:jc w:val="center"/>
        </w:trPr>
        <w:tc>
          <w:tcPr>
            <w:tcW w:w="2838" w:type="dxa"/>
            <w:shd w:val="clear" w:color="auto" w:fill="D9D9D9" w:themeFill="background1" w:themeFillShade="D9"/>
          </w:tcPr>
          <w:p w14:paraId="068BB2B4" w14:textId="77777777" w:rsidR="00F80BBD" w:rsidRPr="00C861DD" w:rsidRDefault="00F80BBD" w:rsidP="00C70235">
            <w:pPr>
              <w:pStyle w:val="BodyText"/>
              <w:rPr>
                <w:rFonts w:cs="Arial"/>
                <w:sz w:val="20"/>
                <w:szCs w:val="20"/>
                <w:lang w:val="en-US"/>
              </w:rPr>
            </w:pPr>
            <w:r w:rsidRPr="00C861DD">
              <w:rPr>
                <w:rFonts w:cs="Arial"/>
                <w:sz w:val="20"/>
                <w:szCs w:val="20"/>
                <w:lang w:val="en-US"/>
              </w:rPr>
              <w:t>Discussed features</w:t>
            </w:r>
          </w:p>
        </w:tc>
        <w:tc>
          <w:tcPr>
            <w:tcW w:w="3686" w:type="dxa"/>
            <w:shd w:val="clear" w:color="auto" w:fill="D9D9D9" w:themeFill="background1" w:themeFillShade="D9"/>
          </w:tcPr>
          <w:p w14:paraId="38535824" w14:textId="77777777" w:rsidR="00F80BBD" w:rsidRPr="00C861DD" w:rsidRDefault="00F80BBD" w:rsidP="00C70235">
            <w:pPr>
              <w:pStyle w:val="BodyText"/>
              <w:rPr>
                <w:rFonts w:cs="Arial"/>
                <w:sz w:val="20"/>
                <w:szCs w:val="20"/>
                <w:lang w:val="en-US"/>
              </w:rPr>
            </w:pPr>
            <w:r w:rsidRPr="00C861DD">
              <w:rPr>
                <w:rFonts w:cs="Arial"/>
                <w:sz w:val="20"/>
                <w:szCs w:val="20"/>
                <w:lang w:val="en-US"/>
              </w:rPr>
              <w:t>Mandatory/Optional</w:t>
            </w:r>
          </w:p>
        </w:tc>
      </w:tr>
      <w:tr w:rsidR="00F80BBD" w:rsidRPr="00257E32" w14:paraId="1EDA46F5" w14:textId="6193112C" w:rsidTr="00F80BBD">
        <w:trPr>
          <w:jc w:val="center"/>
        </w:trPr>
        <w:tc>
          <w:tcPr>
            <w:tcW w:w="2838" w:type="dxa"/>
          </w:tcPr>
          <w:p w14:paraId="44B6B188" w14:textId="276C7F8E" w:rsidR="00F80BBD" w:rsidRPr="00C861DD" w:rsidRDefault="00F80BBD" w:rsidP="00C70235">
            <w:pPr>
              <w:pStyle w:val="BodyText"/>
              <w:rPr>
                <w:rFonts w:cs="Arial"/>
                <w:sz w:val="20"/>
                <w:szCs w:val="20"/>
                <w:lang w:val="en-US"/>
              </w:rPr>
            </w:pPr>
            <w:r w:rsidRPr="00C861DD">
              <w:rPr>
                <w:rFonts w:cs="Arial"/>
                <w:sz w:val="20"/>
                <w:szCs w:val="20"/>
                <w:lang w:val="en-US"/>
              </w:rPr>
              <w:t xml:space="preserve">Prohibit timer to limit </w:t>
            </w:r>
            <w:proofErr w:type="spellStart"/>
            <w:r w:rsidRPr="00C861DD">
              <w:rPr>
                <w:rFonts w:cs="Arial"/>
                <w:sz w:val="20"/>
                <w:szCs w:val="20"/>
                <w:lang w:val="en-US"/>
              </w:rPr>
              <w:t>meas</w:t>
            </w:r>
            <w:proofErr w:type="spellEnd"/>
            <w:r w:rsidRPr="00C861DD">
              <w:rPr>
                <w:rFonts w:cs="Arial"/>
                <w:sz w:val="20"/>
                <w:szCs w:val="20"/>
                <w:lang w:val="en-US"/>
              </w:rPr>
              <w:t xml:space="preserve"> reporting</w:t>
            </w:r>
          </w:p>
        </w:tc>
        <w:tc>
          <w:tcPr>
            <w:tcW w:w="3686" w:type="dxa"/>
          </w:tcPr>
          <w:p w14:paraId="2FC598F5" w14:textId="4F081DF0" w:rsidR="00F80BBD" w:rsidRPr="00C861DD" w:rsidRDefault="00F80BBD" w:rsidP="00C70235">
            <w:pPr>
              <w:pStyle w:val="BodyText"/>
              <w:rPr>
                <w:rFonts w:cs="Arial"/>
                <w:sz w:val="20"/>
                <w:szCs w:val="20"/>
                <w:lang w:val="en-US"/>
              </w:rPr>
            </w:pPr>
            <w:r w:rsidRPr="00C861DD">
              <w:rPr>
                <w:rFonts w:cs="Arial"/>
                <w:sz w:val="20"/>
                <w:szCs w:val="20"/>
                <w:lang w:val="en-US"/>
              </w:rPr>
              <w:t>This feature could be useful for non-aerial UEs.</w:t>
            </w:r>
          </w:p>
        </w:tc>
      </w:tr>
    </w:tbl>
    <w:p w14:paraId="6FE57E6A" w14:textId="1F8B2EB5" w:rsidR="004B4231" w:rsidRDefault="007E73D1" w:rsidP="0023401F">
      <w:pPr>
        <w:pStyle w:val="Proposal"/>
      </w:pPr>
      <w:bookmarkStart w:id="6" w:name="_Toc521053079"/>
      <w:bookmarkStart w:id="7" w:name="_Toc521324958"/>
      <w:bookmarkStart w:id="8" w:name="_Toc521591170"/>
      <w:r>
        <w:t>To allow UE to use Aerial UE function</w:t>
      </w:r>
      <w:r w:rsidR="00E320FD">
        <w:t>, h</w:t>
      </w:r>
      <w:r w:rsidR="004B4231">
        <w:t xml:space="preserve">eight measurement reporting and number of triggered cells </w:t>
      </w:r>
      <w:r w:rsidR="00E8236C">
        <w:t xml:space="preserve">are </w:t>
      </w:r>
      <w:r w:rsidR="004B4231">
        <w:t>mandatory</w:t>
      </w:r>
      <w:r>
        <w:t xml:space="preserve"> for UEs</w:t>
      </w:r>
      <w:r w:rsidR="00381BB2">
        <w:t xml:space="preserve"> </w:t>
      </w:r>
      <w:bookmarkEnd w:id="6"/>
      <w:bookmarkEnd w:id="7"/>
      <w:proofErr w:type="spellStart"/>
      <w:r w:rsidR="0023401F" w:rsidRPr="0023401F">
        <w:t>UEs</w:t>
      </w:r>
      <w:proofErr w:type="spellEnd"/>
      <w:r w:rsidR="0023401F" w:rsidRPr="0023401F">
        <w:t xml:space="preserve"> which have Aerial UE subscription as defined in TS 23.401.</w:t>
      </w:r>
      <w:bookmarkEnd w:id="8"/>
    </w:p>
    <w:p w14:paraId="2FE3611D" w14:textId="6F0925E4" w:rsidR="00381BB2" w:rsidRDefault="00381BB2" w:rsidP="00381BB2">
      <w:pPr>
        <w:pStyle w:val="Proposal"/>
      </w:pPr>
      <w:bookmarkStart w:id="9" w:name="_Toc521591171"/>
      <w:r>
        <w:t>Agree CRs R2-18</w:t>
      </w:r>
      <w:r w:rsidR="0023401F">
        <w:t>12141</w:t>
      </w:r>
      <w:r>
        <w:t xml:space="preserve"> and R2-18</w:t>
      </w:r>
      <w:r w:rsidR="0023401F">
        <w:t>12140</w:t>
      </w:r>
      <w:bookmarkEnd w:id="9"/>
    </w:p>
    <w:p w14:paraId="522FA377" w14:textId="7A02E634" w:rsidR="004B4231" w:rsidRPr="00E042B9" w:rsidRDefault="00E042B9" w:rsidP="000E6F13">
      <w:r>
        <w:rPr>
          <w:bCs/>
        </w:rPr>
        <w:t xml:space="preserve">In </w:t>
      </w:r>
      <w:r w:rsidR="0023401F">
        <w:rPr>
          <w:bCs/>
        </w:rPr>
        <w:fldChar w:fldCharType="begin"/>
      </w:r>
      <w:r w:rsidR="0023401F">
        <w:rPr>
          <w:bCs/>
        </w:rPr>
        <w:instrText xml:space="preserve"> REF _Ref521591193 \r \h </w:instrText>
      </w:r>
      <w:r w:rsidR="0023401F">
        <w:rPr>
          <w:bCs/>
        </w:rPr>
      </w:r>
      <w:r w:rsidR="0023401F">
        <w:rPr>
          <w:bCs/>
        </w:rPr>
        <w:fldChar w:fldCharType="separate"/>
      </w:r>
      <w:r w:rsidR="0023401F">
        <w:rPr>
          <w:bCs/>
        </w:rPr>
        <w:t>[1]</w:t>
      </w:r>
      <w:r w:rsidR="0023401F">
        <w:rPr>
          <w:bCs/>
        </w:rPr>
        <w:fldChar w:fldCharType="end"/>
      </w:r>
      <w:r>
        <w:rPr>
          <w:bCs/>
        </w:rPr>
        <w:t xml:space="preserve"> the CR for 36.306 is shown and in </w:t>
      </w:r>
      <w:r w:rsidR="0023401F">
        <w:rPr>
          <w:bCs/>
        </w:rPr>
        <w:fldChar w:fldCharType="begin"/>
      </w:r>
      <w:r w:rsidR="0023401F">
        <w:rPr>
          <w:bCs/>
        </w:rPr>
        <w:instrText xml:space="preserve"> REF _Ref521591204 \r \h </w:instrText>
      </w:r>
      <w:r w:rsidR="0023401F">
        <w:rPr>
          <w:bCs/>
        </w:rPr>
      </w:r>
      <w:r w:rsidR="0023401F">
        <w:rPr>
          <w:bCs/>
        </w:rPr>
        <w:fldChar w:fldCharType="separate"/>
      </w:r>
      <w:r w:rsidR="0023401F">
        <w:rPr>
          <w:bCs/>
        </w:rPr>
        <w:t>[2]</w:t>
      </w:r>
      <w:r w:rsidR="0023401F">
        <w:rPr>
          <w:bCs/>
        </w:rPr>
        <w:fldChar w:fldCharType="end"/>
      </w:r>
      <w:r w:rsidR="0023401F">
        <w:rPr>
          <w:bCs/>
        </w:rPr>
        <w:t xml:space="preserve"> </w:t>
      </w:r>
      <w:r>
        <w:rPr>
          <w:bCs/>
        </w:rPr>
        <w:t xml:space="preserve">the CR for 36.331 capability signalling is shown. </w:t>
      </w:r>
    </w:p>
    <w:p w14:paraId="535A4D4C" w14:textId="77777777" w:rsidR="00C01F33" w:rsidRPr="00CE0424" w:rsidRDefault="00C01F33" w:rsidP="00CE0424">
      <w:pPr>
        <w:pStyle w:val="Heading1"/>
      </w:pPr>
      <w:r w:rsidRPr="00CE0424">
        <w:t>Conclusion</w:t>
      </w:r>
    </w:p>
    <w:p w14:paraId="7FFCFC07" w14:textId="77777777" w:rsidR="005646BF" w:rsidRPr="009108A2" w:rsidRDefault="005646BF" w:rsidP="005646BF">
      <w:pPr>
        <w:pStyle w:val="BodyText"/>
        <w:rPr>
          <w:rFonts w:cs="Arial"/>
          <w:b/>
          <w:bCs/>
        </w:rPr>
      </w:pPr>
      <w:bookmarkStart w:id="10" w:name="_In-sequence_SDU_delivery"/>
      <w:bookmarkEnd w:id="10"/>
      <w:r w:rsidRPr="009108A2">
        <w:rPr>
          <w:rFonts w:cs="Arial"/>
        </w:rPr>
        <w:t>In the previous sections we made the following observations:</w:t>
      </w:r>
      <w:r w:rsidRPr="009108A2">
        <w:rPr>
          <w:rFonts w:cs="Arial"/>
          <w:b/>
          <w:bCs/>
        </w:rPr>
        <w:t xml:space="preserve"> </w:t>
      </w:r>
    </w:p>
    <w:p w14:paraId="2FB92ADD" w14:textId="6B28DBA6" w:rsidR="0023401F" w:rsidRDefault="005646BF">
      <w:pPr>
        <w:pStyle w:val="TableofFigures"/>
        <w:tabs>
          <w:tab w:val="right" w:leader="dot" w:pos="9629"/>
        </w:tabs>
        <w:rPr>
          <w:rFonts w:asciiTheme="minorHAnsi" w:eastAsiaTheme="minorEastAsia" w:hAnsiTheme="minorHAnsi" w:cstheme="minorBidi"/>
          <w:b w:val="0"/>
          <w:noProof/>
          <w:sz w:val="22"/>
          <w:szCs w:val="22"/>
          <w:lang w:val="fi-FI" w:eastAsia="fi-FI"/>
        </w:rPr>
      </w:pPr>
      <w:r w:rsidRPr="009108A2">
        <w:rPr>
          <w:rFonts w:cs="Arial"/>
          <w:b w:val="0"/>
          <w:bCs/>
        </w:rPr>
        <w:fldChar w:fldCharType="begin"/>
      </w:r>
      <w:r w:rsidRPr="009108A2">
        <w:rPr>
          <w:rFonts w:cs="Arial"/>
          <w:b w:val="0"/>
          <w:bCs/>
        </w:rPr>
        <w:instrText xml:space="preserve"> TOC \f O \n \h \z \t "Observation" \c </w:instrText>
      </w:r>
      <w:r w:rsidRPr="009108A2">
        <w:rPr>
          <w:rFonts w:cs="Arial"/>
          <w:b w:val="0"/>
          <w:bCs/>
        </w:rPr>
        <w:fldChar w:fldCharType="separate"/>
      </w:r>
      <w:hyperlink w:anchor="_Toc521591245" w:history="1">
        <w:r w:rsidR="0023401F" w:rsidRPr="00E67228">
          <w:rPr>
            <w:rStyle w:val="Hyperlink"/>
            <w:noProof/>
          </w:rPr>
          <w:t>Observation 1</w:t>
        </w:r>
        <w:r w:rsidR="0023401F">
          <w:rPr>
            <w:rFonts w:asciiTheme="minorHAnsi" w:eastAsiaTheme="minorEastAsia" w:hAnsiTheme="minorHAnsi" w:cstheme="minorBidi"/>
            <w:b w:val="0"/>
            <w:noProof/>
            <w:sz w:val="22"/>
            <w:szCs w:val="22"/>
            <w:lang w:val="fi-FI" w:eastAsia="fi-FI"/>
          </w:rPr>
          <w:tab/>
        </w:r>
        <w:r w:rsidR="0023401F" w:rsidRPr="00E67228">
          <w:rPr>
            <w:rStyle w:val="Hyperlink"/>
            <w:noProof/>
          </w:rPr>
          <w:t>Most Rel-15 aerial features can potentially be useful for other non-aerial UEs.</w:t>
        </w:r>
      </w:hyperlink>
    </w:p>
    <w:p w14:paraId="6DAE34E0" w14:textId="48F9BF25" w:rsidR="0023401F" w:rsidRDefault="0023401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21591246" w:history="1">
        <w:r w:rsidRPr="00E67228">
          <w:rPr>
            <w:rStyle w:val="Hyperlink"/>
            <w:noProof/>
          </w:rPr>
          <w:t>Observation 2</w:t>
        </w:r>
        <w:r>
          <w:rPr>
            <w:rFonts w:asciiTheme="minorHAnsi" w:eastAsiaTheme="minorEastAsia" w:hAnsiTheme="minorHAnsi" w:cstheme="minorBidi"/>
            <w:b w:val="0"/>
            <w:noProof/>
            <w:sz w:val="22"/>
            <w:szCs w:val="22"/>
            <w:lang w:val="fi-FI" w:eastAsia="fi-FI"/>
          </w:rPr>
          <w:tab/>
        </w:r>
        <w:r w:rsidRPr="00E67228">
          <w:rPr>
            <w:rStyle w:val="Hyperlink"/>
            <w:noProof/>
          </w:rPr>
          <w:t>eNB supporting Aerial UE function handling uses the per user information supplied by the MME to determine whether or not to allow the UE to use Aerial UE function.</w:t>
        </w:r>
      </w:hyperlink>
    </w:p>
    <w:p w14:paraId="4C2F9ED3" w14:textId="0E856D27" w:rsidR="005646BF" w:rsidRPr="009108A2" w:rsidRDefault="005646BF" w:rsidP="005646BF">
      <w:pPr>
        <w:pStyle w:val="BodyText"/>
        <w:rPr>
          <w:rFonts w:cs="Arial"/>
          <w:b/>
          <w:bCs/>
        </w:rPr>
      </w:pPr>
      <w:r w:rsidRPr="009108A2">
        <w:rPr>
          <w:rFonts w:cs="Arial"/>
          <w:b/>
          <w:bCs/>
        </w:rPr>
        <w:fldChar w:fldCharType="end"/>
      </w:r>
    </w:p>
    <w:p w14:paraId="59ECE1A3" w14:textId="77777777" w:rsidR="005646BF" w:rsidRPr="009108A2" w:rsidRDefault="005646BF" w:rsidP="005646BF">
      <w:pPr>
        <w:pStyle w:val="BodyText"/>
        <w:rPr>
          <w:rFonts w:cs="Arial"/>
        </w:rPr>
      </w:pPr>
      <w:r w:rsidRPr="009108A2">
        <w:rPr>
          <w:rFonts w:cs="Arial"/>
        </w:rPr>
        <w:t>Based on the discussion in the previous sections we propose the following:</w:t>
      </w:r>
    </w:p>
    <w:p w14:paraId="44E1E768" w14:textId="1F30FA50" w:rsidR="0023401F" w:rsidRPr="0023401F" w:rsidRDefault="005646BF">
      <w:pPr>
        <w:pStyle w:val="TableofFigures"/>
        <w:tabs>
          <w:tab w:val="right" w:leader="dot" w:pos="9629"/>
        </w:tabs>
        <w:rPr>
          <w:rFonts w:asciiTheme="minorHAnsi" w:eastAsiaTheme="minorEastAsia" w:hAnsiTheme="minorHAnsi" w:cstheme="minorBidi"/>
          <w:b w:val="0"/>
          <w:noProof/>
          <w:sz w:val="22"/>
          <w:szCs w:val="22"/>
          <w:lang w:val="fi-FI" w:eastAsia="fi-FI"/>
        </w:rPr>
      </w:pPr>
      <w:r w:rsidRPr="0023401F">
        <w:rPr>
          <w:rFonts w:cs="Arial"/>
          <w:b w:val="0"/>
          <w:bCs/>
          <w:lang w:val="en-US"/>
        </w:rPr>
        <w:fldChar w:fldCharType="begin"/>
      </w:r>
      <w:r w:rsidRPr="0023401F">
        <w:rPr>
          <w:rFonts w:cs="Arial"/>
          <w:b w:val="0"/>
          <w:bCs/>
          <w:lang w:val="en-US"/>
        </w:rPr>
        <w:instrText xml:space="preserve"> TOC \n \h \z \t "Proposal" \c </w:instrText>
      </w:r>
      <w:r w:rsidRPr="0023401F">
        <w:rPr>
          <w:rFonts w:cs="Arial"/>
          <w:b w:val="0"/>
          <w:bCs/>
          <w:lang w:val="en-US"/>
        </w:rPr>
        <w:fldChar w:fldCharType="separate"/>
      </w:r>
      <w:hyperlink w:anchor="_Toc521591169" w:history="1">
        <w:r w:rsidR="0023401F" w:rsidRPr="0023401F">
          <w:rPr>
            <w:rStyle w:val="Hyperlink"/>
            <w:noProof/>
          </w:rPr>
          <w:t>Proposal 1</w:t>
        </w:r>
        <w:r w:rsidR="0023401F" w:rsidRPr="0023401F">
          <w:rPr>
            <w:rFonts w:asciiTheme="minorHAnsi" w:eastAsiaTheme="minorEastAsia" w:hAnsiTheme="minorHAnsi" w:cstheme="minorBidi"/>
            <w:b w:val="0"/>
            <w:noProof/>
            <w:sz w:val="22"/>
            <w:szCs w:val="22"/>
            <w:lang w:val="fi-FI" w:eastAsia="fi-FI"/>
          </w:rPr>
          <w:tab/>
        </w:r>
        <w:r w:rsidR="0023401F" w:rsidRPr="0023401F">
          <w:rPr>
            <w:rStyle w:val="Hyperlink"/>
            <w:noProof/>
          </w:rPr>
          <w:t>Features introduced in LTE_Aerial-Core are optional for Rel-15 UEs not supporting Aerial functionality.</w:t>
        </w:r>
      </w:hyperlink>
    </w:p>
    <w:p w14:paraId="2977554D" w14:textId="4A1D0FD9" w:rsidR="0023401F" w:rsidRPr="0023401F" w:rsidRDefault="0023401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21591170" w:history="1">
        <w:r w:rsidRPr="0023401F">
          <w:rPr>
            <w:rStyle w:val="Hyperlink"/>
            <w:noProof/>
          </w:rPr>
          <w:t>Proposal 2</w:t>
        </w:r>
        <w:r w:rsidRPr="0023401F">
          <w:rPr>
            <w:rFonts w:asciiTheme="minorHAnsi" w:eastAsiaTheme="minorEastAsia" w:hAnsiTheme="minorHAnsi" w:cstheme="minorBidi"/>
            <w:b w:val="0"/>
            <w:noProof/>
            <w:sz w:val="22"/>
            <w:szCs w:val="22"/>
            <w:lang w:val="fi-FI" w:eastAsia="fi-FI"/>
          </w:rPr>
          <w:tab/>
        </w:r>
        <w:r w:rsidRPr="0023401F">
          <w:rPr>
            <w:rStyle w:val="Hyperlink"/>
            <w:noProof/>
          </w:rPr>
          <w:t>To allow UE to use Aerial UE function, height measurement reporting and number of triggered cells are mandatory for UEs UEs which have Aerial UE subscription as defined in TS 23.401.</w:t>
        </w:r>
      </w:hyperlink>
      <w:bookmarkStart w:id="11" w:name="_GoBack"/>
      <w:bookmarkEnd w:id="11"/>
    </w:p>
    <w:p w14:paraId="6210409D" w14:textId="0AD8B7E9" w:rsidR="0023401F" w:rsidRPr="0023401F" w:rsidRDefault="0023401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21591171" w:history="1">
        <w:r w:rsidRPr="0023401F">
          <w:rPr>
            <w:rStyle w:val="Hyperlink"/>
            <w:noProof/>
          </w:rPr>
          <w:t>Proposal 3</w:t>
        </w:r>
        <w:r w:rsidRPr="0023401F">
          <w:rPr>
            <w:rFonts w:asciiTheme="minorHAnsi" w:eastAsiaTheme="minorEastAsia" w:hAnsiTheme="minorHAnsi" w:cstheme="minorBidi"/>
            <w:b w:val="0"/>
            <w:noProof/>
            <w:sz w:val="22"/>
            <w:szCs w:val="22"/>
            <w:lang w:val="fi-FI" w:eastAsia="fi-FI"/>
          </w:rPr>
          <w:tab/>
        </w:r>
        <w:r w:rsidRPr="0023401F">
          <w:rPr>
            <w:rStyle w:val="Hyperlink"/>
            <w:noProof/>
          </w:rPr>
          <w:t>Agree CRs R2-1812141 and R2-1812140</w:t>
        </w:r>
      </w:hyperlink>
    </w:p>
    <w:p w14:paraId="006DD9E9" w14:textId="1D46EC3F" w:rsidR="00F507D1" w:rsidRPr="0023401F" w:rsidRDefault="005646BF" w:rsidP="005646BF">
      <w:pPr>
        <w:pStyle w:val="Heading1"/>
      </w:pPr>
      <w:r w:rsidRPr="0023401F">
        <w:rPr>
          <w:b/>
          <w:bCs/>
          <w:lang w:val="en-US"/>
        </w:rPr>
        <w:fldChar w:fldCharType="end"/>
      </w:r>
      <w:r w:rsidR="00F507D1" w:rsidRPr="0023401F">
        <w:t>References</w:t>
      </w:r>
    </w:p>
    <w:p w14:paraId="2052B4E3" w14:textId="5DCD07FA" w:rsidR="004B4231" w:rsidRPr="0023401F" w:rsidRDefault="0023401F" w:rsidP="0023401F">
      <w:pPr>
        <w:pStyle w:val="Reference"/>
        <w:rPr>
          <w:lang w:val="en-US"/>
        </w:rPr>
      </w:pPr>
      <w:bookmarkStart w:id="12" w:name="_Ref174151459"/>
      <w:bookmarkStart w:id="13" w:name="_Ref189809556"/>
      <w:r>
        <w:rPr>
          <w:lang w:val="en-US"/>
        </w:rPr>
        <w:t xml:space="preserve">R2-1812140, </w:t>
      </w:r>
      <w:r>
        <w:rPr>
          <w:noProof/>
        </w:rPr>
        <w:t>Introduction of capabilities for Rel-15 Aerial WI</w:t>
      </w:r>
      <w:r>
        <w:rPr>
          <w:noProof/>
        </w:rPr>
        <w:t xml:space="preserve">, </w:t>
      </w:r>
      <w:r w:rsidRPr="0023401F">
        <w:rPr>
          <w:noProof/>
        </w:rPr>
        <w:t>Ericsson, NTT Docomo, Nokia, Nokia Shanghai Bell</w:t>
      </w:r>
      <w:r>
        <w:rPr>
          <w:noProof/>
        </w:rPr>
        <w:t>, RAN2#103</w:t>
      </w:r>
    </w:p>
    <w:bookmarkEnd w:id="12"/>
    <w:bookmarkEnd w:id="13"/>
    <w:p w14:paraId="314B7B81" w14:textId="6DA2AC60" w:rsidR="0023401F" w:rsidRPr="0023401F" w:rsidRDefault="0023401F" w:rsidP="0023401F">
      <w:pPr>
        <w:pStyle w:val="Reference"/>
        <w:rPr>
          <w:lang w:val="en-US"/>
        </w:rPr>
      </w:pPr>
      <w:r>
        <w:rPr>
          <w:lang w:val="en-US"/>
        </w:rPr>
        <w:t>R2-181214</w:t>
      </w:r>
      <w:r>
        <w:rPr>
          <w:lang w:val="en-US"/>
        </w:rPr>
        <w:t>1</w:t>
      </w:r>
      <w:r>
        <w:rPr>
          <w:lang w:val="en-US"/>
        </w:rPr>
        <w:t xml:space="preserve">, </w:t>
      </w:r>
      <w:r>
        <w:rPr>
          <w:noProof/>
        </w:rPr>
        <w:t xml:space="preserve">Introduction of capabilities for Rel-15 Aerial WI, </w:t>
      </w:r>
      <w:r w:rsidRPr="0023401F">
        <w:rPr>
          <w:noProof/>
        </w:rPr>
        <w:t>Ericsson, NTT Docomo, Nokia, Nokia Shanghai Bell</w:t>
      </w:r>
      <w:r>
        <w:rPr>
          <w:noProof/>
        </w:rPr>
        <w:t>, RAN2#103</w:t>
      </w:r>
    </w:p>
    <w:p w14:paraId="5869B15B" w14:textId="35F91FF3" w:rsidR="002C0A73" w:rsidRPr="0023401F" w:rsidRDefault="002C0A73" w:rsidP="0023401F">
      <w:pPr>
        <w:pStyle w:val="Reference"/>
        <w:numPr>
          <w:ilvl w:val="0"/>
          <w:numId w:val="0"/>
        </w:numPr>
        <w:ind w:left="567"/>
        <w:rPr>
          <w:lang w:val="en-US"/>
        </w:rPr>
      </w:pPr>
    </w:p>
    <w:sectPr w:rsidR="002C0A73" w:rsidRPr="0023401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014C9" w14:textId="77777777" w:rsidR="00A20DCE" w:rsidRDefault="00A20DCE">
      <w:r>
        <w:separator/>
      </w:r>
    </w:p>
  </w:endnote>
  <w:endnote w:type="continuationSeparator" w:id="0">
    <w:p w14:paraId="05F32594" w14:textId="77777777" w:rsidR="00A20DCE" w:rsidRDefault="00A20DCE">
      <w:r>
        <w:continuationSeparator/>
      </w:r>
    </w:p>
  </w:endnote>
  <w:endnote w:type="continuationNotice" w:id="1">
    <w:p w14:paraId="6C7AF08A" w14:textId="77777777" w:rsidR="00A20DCE" w:rsidRDefault="00A20D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4A3CA"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58FFA" w14:textId="77777777" w:rsidR="00A20DCE" w:rsidRDefault="00A20DCE">
      <w:r>
        <w:separator/>
      </w:r>
    </w:p>
  </w:footnote>
  <w:footnote w:type="continuationSeparator" w:id="0">
    <w:p w14:paraId="6CA1ABB6" w14:textId="77777777" w:rsidR="00A20DCE" w:rsidRDefault="00A20DCE">
      <w:r>
        <w:continuationSeparator/>
      </w:r>
    </w:p>
  </w:footnote>
  <w:footnote w:type="continuationNotice" w:id="1">
    <w:p w14:paraId="2E38AD5E" w14:textId="77777777" w:rsidR="00A20DCE" w:rsidRDefault="00A20D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58C26"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EC32B2"/>
    <w:multiLevelType w:val="hybridMultilevel"/>
    <w:tmpl w:val="B634711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1DD"/>
    <w:rsid w:val="000006E1"/>
    <w:rsid w:val="00002A37"/>
    <w:rsid w:val="000039F4"/>
    <w:rsid w:val="00006446"/>
    <w:rsid w:val="00006896"/>
    <w:rsid w:val="00007CDC"/>
    <w:rsid w:val="00011B28"/>
    <w:rsid w:val="00011F9F"/>
    <w:rsid w:val="00015D15"/>
    <w:rsid w:val="00015E4D"/>
    <w:rsid w:val="00022956"/>
    <w:rsid w:val="0002564D"/>
    <w:rsid w:val="00025ECA"/>
    <w:rsid w:val="00027210"/>
    <w:rsid w:val="000325B8"/>
    <w:rsid w:val="00034C15"/>
    <w:rsid w:val="00036BA1"/>
    <w:rsid w:val="000422E2"/>
    <w:rsid w:val="00042F22"/>
    <w:rsid w:val="000444EF"/>
    <w:rsid w:val="000471F4"/>
    <w:rsid w:val="000524A9"/>
    <w:rsid w:val="00052A07"/>
    <w:rsid w:val="000534E3"/>
    <w:rsid w:val="0005606A"/>
    <w:rsid w:val="00057117"/>
    <w:rsid w:val="00057D0D"/>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89D"/>
    <w:rsid w:val="000A1B7B"/>
    <w:rsid w:val="000A56F2"/>
    <w:rsid w:val="000B2719"/>
    <w:rsid w:val="000B3A8F"/>
    <w:rsid w:val="000B4AB9"/>
    <w:rsid w:val="000B58C3"/>
    <w:rsid w:val="000B61E9"/>
    <w:rsid w:val="000C165A"/>
    <w:rsid w:val="000C2E19"/>
    <w:rsid w:val="000D0D07"/>
    <w:rsid w:val="000D4797"/>
    <w:rsid w:val="000E0527"/>
    <w:rsid w:val="000E1E92"/>
    <w:rsid w:val="000E6F13"/>
    <w:rsid w:val="000E709F"/>
    <w:rsid w:val="000F06D6"/>
    <w:rsid w:val="000F0EB1"/>
    <w:rsid w:val="000F1106"/>
    <w:rsid w:val="000F3BE9"/>
    <w:rsid w:val="000F3F6C"/>
    <w:rsid w:val="000F6DF3"/>
    <w:rsid w:val="001005FF"/>
    <w:rsid w:val="001062FB"/>
    <w:rsid w:val="001063E6"/>
    <w:rsid w:val="00111EBD"/>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63BB"/>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A64"/>
    <w:rsid w:val="00220600"/>
    <w:rsid w:val="002224DB"/>
    <w:rsid w:val="00223FCB"/>
    <w:rsid w:val="002252C3"/>
    <w:rsid w:val="00225C54"/>
    <w:rsid w:val="00230765"/>
    <w:rsid w:val="002319E4"/>
    <w:rsid w:val="0023401F"/>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404"/>
    <w:rsid w:val="002805F5"/>
    <w:rsid w:val="00280751"/>
    <w:rsid w:val="00280DD1"/>
    <w:rsid w:val="0028280A"/>
    <w:rsid w:val="00286ACD"/>
    <w:rsid w:val="00287838"/>
    <w:rsid w:val="002907B5"/>
    <w:rsid w:val="00292EB7"/>
    <w:rsid w:val="00296227"/>
    <w:rsid w:val="00296F44"/>
    <w:rsid w:val="0029777D"/>
    <w:rsid w:val="002A055E"/>
    <w:rsid w:val="002A067B"/>
    <w:rsid w:val="002A1D4E"/>
    <w:rsid w:val="002A2869"/>
    <w:rsid w:val="002A5F65"/>
    <w:rsid w:val="002B24D6"/>
    <w:rsid w:val="002B6ED5"/>
    <w:rsid w:val="002C0A73"/>
    <w:rsid w:val="002C41E6"/>
    <w:rsid w:val="002D071A"/>
    <w:rsid w:val="002D34B2"/>
    <w:rsid w:val="002D7637"/>
    <w:rsid w:val="002E17F2"/>
    <w:rsid w:val="002E621B"/>
    <w:rsid w:val="002E7CAE"/>
    <w:rsid w:val="002F2771"/>
    <w:rsid w:val="002F37A9"/>
    <w:rsid w:val="00301CE6"/>
    <w:rsid w:val="0030256B"/>
    <w:rsid w:val="003027C0"/>
    <w:rsid w:val="0030501F"/>
    <w:rsid w:val="00307220"/>
    <w:rsid w:val="00307BA1"/>
    <w:rsid w:val="003103B7"/>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CED"/>
    <w:rsid w:val="00370E47"/>
    <w:rsid w:val="003742AC"/>
    <w:rsid w:val="00377CE1"/>
    <w:rsid w:val="00381BB2"/>
    <w:rsid w:val="00381ED9"/>
    <w:rsid w:val="0038587F"/>
    <w:rsid w:val="00385BF0"/>
    <w:rsid w:val="003939FF"/>
    <w:rsid w:val="003A2223"/>
    <w:rsid w:val="003A2A0F"/>
    <w:rsid w:val="003A45A1"/>
    <w:rsid w:val="003A5B0A"/>
    <w:rsid w:val="003A6BAC"/>
    <w:rsid w:val="003A7EF3"/>
    <w:rsid w:val="003B159C"/>
    <w:rsid w:val="003B369F"/>
    <w:rsid w:val="003B36A3"/>
    <w:rsid w:val="003B460B"/>
    <w:rsid w:val="003B7FE5"/>
    <w:rsid w:val="003C03A2"/>
    <w:rsid w:val="003C11C8"/>
    <w:rsid w:val="003C2702"/>
    <w:rsid w:val="003C7806"/>
    <w:rsid w:val="003D109F"/>
    <w:rsid w:val="003D2478"/>
    <w:rsid w:val="003D3C45"/>
    <w:rsid w:val="003D5B1F"/>
    <w:rsid w:val="003E15FA"/>
    <w:rsid w:val="003E55E4"/>
    <w:rsid w:val="003E74E3"/>
    <w:rsid w:val="003F05C7"/>
    <w:rsid w:val="003F2CD4"/>
    <w:rsid w:val="003F4C6E"/>
    <w:rsid w:val="003F6BBE"/>
    <w:rsid w:val="004000E8"/>
    <w:rsid w:val="00402E2B"/>
    <w:rsid w:val="0040512B"/>
    <w:rsid w:val="00405CA5"/>
    <w:rsid w:val="00407CD3"/>
    <w:rsid w:val="00410134"/>
    <w:rsid w:val="00410B72"/>
    <w:rsid w:val="00410F18"/>
    <w:rsid w:val="0041263E"/>
    <w:rsid w:val="00413AAC"/>
    <w:rsid w:val="00420790"/>
    <w:rsid w:val="00421105"/>
    <w:rsid w:val="004242F4"/>
    <w:rsid w:val="00427248"/>
    <w:rsid w:val="00437447"/>
    <w:rsid w:val="00441A92"/>
    <w:rsid w:val="00444098"/>
    <w:rsid w:val="00444F56"/>
    <w:rsid w:val="00446488"/>
    <w:rsid w:val="004517AA"/>
    <w:rsid w:val="00452CAC"/>
    <w:rsid w:val="00457565"/>
    <w:rsid w:val="00457B71"/>
    <w:rsid w:val="004669E2"/>
    <w:rsid w:val="00467605"/>
    <w:rsid w:val="00470C31"/>
    <w:rsid w:val="00471410"/>
    <w:rsid w:val="004734D0"/>
    <w:rsid w:val="0047556B"/>
    <w:rsid w:val="00477768"/>
    <w:rsid w:val="00492BC5"/>
    <w:rsid w:val="004964F1"/>
    <w:rsid w:val="004A16BC"/>
    <w:rsid w:val="004A2B94"/>
    <w:rsid w:val="004B4231"/>
    <w:rsid w:val="004B7C0C"/>
    <w:rsid w:val="004C2DB9"/>
    <w:rsid w:val="004C3898"/>
    <w:rsid w:val="004D36B1"/>
    <w:rsid w:val="004D7EBD"/>
    <w:rsid w:val="004E2680"/>
    <w:rsid w:val="004E28F9"/>
    <w:rsid w:val="004E462E"/>
    <w:rsid w:val="004E56DC"/>
    <w:rsid w:val="004E76F4"/>
    <w:rsid w:val="004F0B4E"/>
    <w:rsid w:val="004F0B6C"/>
    <w:rsid w:val="004F0EF6"/>
    <w:rsid w:val="004F2078"/>
    <w:rsid w:val="004F4DA3"/>
    <w:rsid w:val="00506557"/>
    <w:rsid w:val="0050677A"/>
    <w:rsid w:val="005108D8"/>
    <w:rsid w:val="005116F9"/>
    <w:rsid w:val="005153A7"/>
    <w:rsid w:val="00520F12"/>
    <w:rsid w:val="005219CF"/>
    <w:rsid w:val="00524EF2"/>
    <w:rsid w:val="00534B59"/>
    <w:rsid w:val="00536759"/>
    <w:rsid w:val="005372E4"/>
    <w:rsid w:val="00537C62"/>
    <w:rsid w:val="005401B8"/>
    <w:rsid w:val="00546970"/>
    <w:rsid w:val="00554E19"/>
    <w:rsid w:val="0056121F"/>
    <w:rsid w:val="005646BF"/>
    <w:rsid w:val="00572505"/>
    <w:rsid w:val="005818C9"/>
    <w:rsid w:val="00582809"/>
    <w:rsid w:val="0058798C"/>
    <w:rsid w:val="005900FA"/>
    <w:rsid w:val="005935A4"/>
    <w:rsid w:val="005948C2"/>
    <w:rsid w:val="00595DCA"/>
    <w:rsid w:val="0059779B"/>
    <w:rsid w:val="005A209A"/>
    <w:rsid w:val="005A662D"/>
    <w:rsid w:val="005B35D7"/>
    <w:rsid w:val="005B392A"/>
    <w:rsid w:val="005B3AA3"/>
    <w:rsid w:val="005B4151"/>
    <w:rsid w:val="005B591A"/>
    <w:rsid w:val="005B6F83"/>
    <w:rsid w:val="005C74FB"/>
    <w:rsid w:val="005D1602"/>
    <w:rsid w:val="005E385F"/>
    <w:rsid w:val="005E5B81"/>
    <w:rsid w:val="005F2CB1"/>
    <w:rsid w:val="005F3025"/>
    <w:rsid w:val="005F43FE"/>
    <w:rsid w:val="005F618C"/>
    <w:rsid w:val="005F70BD"/>
    <w:rsid w:val="00602791"/>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DA6"/>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36EE"/>
    <w:rsid w:val="007250B8"/>
    <w:rsid w:val="00726EA6"/>
    <w:rsid w:val="00727208"/>
    <w:rsid w:val="00727680"/>
    <w:rsid w:val="007348B1"/>
    <w:rsid w:val="00735F7D"/>
    <w:rsid w:val="007362A6"/>
    <w:rsid w:val="00736D7D"/>
    <w:rsid w:val="00740E58"/>
    <w:rsid w:val="007445A0"/>
    <w:rsid w:val="0074524B"/>
    <w:rsid w:val="00747D8B"/>
    <w:rsid w:val="00751228"/>
    <w:rsid w:val="007571E1"/>
    <w:rsid w:val="007604B2"/>
    <w:rsid w:val="00765281"/>
    <w:rsid w:val="00766BAD"/>
    <w:rsid w:val="007730BD"/>
    <w:rsid w:val="007746C3"/>
    <w:rsid w:val="007755F2"/>
    <w:rsid w:val="00776971"/>
    <w:rsid w:val="0078177E"/>
    <w:rsid w:val="0078304C"/>
    <w:rsid w:val="00783673"/>
    <w:rsid w:val="00785490"/>
    <w:rsid w:val="0079066D"/>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3D1"/>
    <w:rsid w:val="007F73FC"/>
    <w:rsid w:val="00803FAE"/>
    <w:rsid w:val="0080605F"/>
    <w:rsid w:val="00807786"/>
    <w:rsid w:val="00811FCB"/>
    <w:rsid w:val="008158D6"/>
    <w:rsid w:val="00817196"/>
    <w:rsid w:val="008227FA"/>
    <w:rsid w:val="008235DB"/>
    <w:rsid w:val="00823DB1"/>
    <w:rsid w:val="00824AB4"/>
    <w:rsid w:val="00824B37"/>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44"/>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73CD"/>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068"/>
    <w:rsid w:val="00994DCA"/>
    <w:rsid w:val="009960EC"/>
    <w:rsid w:val="009970DD"/>
    <w:rsid w:val="009A0FBA"/>
    <w:rsid w:val="009A1601"/>
    <w:rsid w:val="009A462D"/>
    <w:rsid w:val="009A5CBA"/>
    <w:rsid w:val="009A643C"/>
    <w:rsid w:val="009B1F30"/>
    <w:rsid w:val="009B3AC2"/>
    <w:rsid w:val="009B4DF4"/>
    <w:rsid w:val="009B564E"/>
    <w:rsid w:val="009B7E87"/>
    <w:rsid w:val="009C403E"/>
    <w:rsid w:val="009C4D42"/>
    <w:rsid w:val="009D4FF0"/>
    <w:rsid w:val="009D703C"/>
    <w:rsid w:val="009D718F"/>
    <w:rsid w:val="009E068F"/>
    <w:rsid w:val="009E14E0"/>
    <w:rsid w:val="009E35DB"/>
    <w:rsid w:val="009E47A3"/>
    <w:rsid w:val="009F08F3"/>
    <w:rsid w:val="009F344F"/>
    <w:rsid w:val="00A048A8"/>
    <w:rsid w:val="00A04F49"/>
    <w:rsid w:val="00A0700B"/>
    <w:rsid w:val="00A106C3"/>
    <w:rsid w:val="00A13E54"/>
    <w:rsid w:val="00A17F63"/>
    <w:rsid w:val="00A2052C"/>
    <w:rsid w:val="00A20DCE"/>
    <w:rsid w:val="00A2193B"/>
    <w:rsid w:val="00A2351A"/>
    <w:rsid w:val="00A264A9"/>
    <w:rsid w:val="00A27785"/>
    <w:rsid w:val="00A30187"/>
    <w:rsid w:val="00A3448A"/>
    <w:rsid w:val="00A36297"/>
    <w:rsid w:val="00A41E2B"/>
    <w:rsid w:val="00A45B74"/>
    <w:rsid w:val="00A52E1D"/>
    <w:rsid w:val="00A61499"/>
    <w:rsid w:val="00A62A77"/>
    <w:rsid w:val="00A63483"/>
    <w:rsid w:val="00A647A1"/>
    <w:rsid w:val="00A657D7"/>
    <w:rsid w:val="00A660AC"/>
    <w:rsid w:val="00A66F55"/>
    <w:rsid w:val="00A67E6C"/>
    <w:rsid w:val="00A71B99"/>
    <w:rsid w:val="00A739D0"/>
    <w:rsid w:val="00A761D4"/>
    <w:rsid w:val="00A77EC4"/>
    <w:rsid w:val="00A92879"/>
    <w:rsid w:val="00A93CD7"/>
    <w:rsid w:val="00A9442A"/>
    <w:rsid w:val="00AA016F"/>
    <w:rsid w:val="00AA1ED6"/>
    <w:rsid w:val="00AA2B51"/>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0A20"/>
    <w:rsid w:val="00AE27AC"/>
    <w:rsid w:val="00AE3743"/>
    <w:rsid w:val="00AE40E0"/>
    <w:rsid w:val="00AE4DBA"/>
    <w:rsid w:val="00AE4F07"/>
    <w:rsid w:val="00AE5607"/>
    <w:rsid w:val="00AF1C5D"/>
    <w:rsid w:val="00AF42D7"/>
    <w:rsid w:val="00B006FE"/>
    <w:rsid w:val="00B007CB"/>
    <w:rsid w:val="00B02AA9"/>
    <w:rsid w:val="00B02FA3"/>
    <w:rsid w:val="00B05084"/>
    <w:rsid w:val="00B15147"/>
    <w:rsid w:val="00B157F9"/>
    <w:rsid w:val="00B20256"/>
    <w:rsid w:val="00B20D09"/>
    <w:rsid w:val="00B2763F"/>
    <w:rsid w:val="00B27AAC"/>
    <w:rsid w:val="00B30929"/>
    <w:rsid w:val="00B32C5B"/>
    <w:rsid w:val="00B372AA"/>
    <w:rsid w:val="00B40445"/>
    <w:rsid w:val="00B41888"/>
    <w:rsid w:val="00B41E39"/>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B6F91"/>
    <w:rsid w:val="00BC0937"/>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1092"/>
    <w:rsid w:val="00C23991"/>
    <w:rsid w:val="00C24345"/>
    <w:rsid w:val="00C279B5"/>
    <w:rsid w:val="00C27C45"/>
    <w:rsid w:val="00C3719D"/>
    <w:rsid w:val="00C54995"/>
    <w:rsid w:val="00C54D41"/>
    <w:rsid w:val="00C60783"/>
    <w:rsid w:val="00C64089"/>
    <w:rsid w:val="00C64672"/>
    <w:rsid w:val="00C674EF"/>
    <w:rsid w:val="00C70697"/>
    <w:rsid w:val="00C72EF4"/>
    <w:rsid w:val="00C75D2F"/>
    <w:rsid w:val="00C767BE"/>
    <w:rsid w:val="00C76E3C"/>
    <w:rsid w:val="00C81568"/>
    <w:rsid w:val="00C8448A"/>
    <w:rsid w:val="00C861DD"/>
    <w:rsid w:val="00C9027A"/>
    <w:rsid w:val="00C9068E"/>
    <w:rsid w:val="00C93C4B"/>
    <w:rsid w:val="00C944AB"/>
    <w:rsid w:val="00C95B40"/>
    <w:rsid w:val="00CA17DA"/>
    <w:rsid w:val="00CA1ED8"/>
    <w:rsid w:val="00CB1F63"/>
    <w:rsid w:val="00CB7170"/>
    <w:rsid w:val="00CC040E"/>
    <w:rsid w:val="00CC111F"/>
    <w:rsid w:val="00CC2011"/>
    <w:rsid w:val="00CC3EA0"/>
    <w:rsid w:val="00CC6B9B"/>
    <w:rsid w:val="00CC7B45"/>
    <w:rsid w:val="00CD1188"/>
    <w:rsid w:val="00CD2ED1"/>
    <w:rsid w:val="00CD337B"/>
    <w:rsid w:val="00CE0424"/>
    <w:rsid w:val="00CE7561"/>
    <w:rsid w:val="00CF1354"/>
    <w:rsid w:val="00CF3B1F"/>
    <w:rsid w:val="00CF3BF6"/>
    <w:rsid w:val="00CF625B"/>
    <w:rsid w:val="00CF66BD"/>
    <w:rsid w:val="00CF687E"/>
    <w:rsid w:val="00D0349B"/>
    <w:rsid w:val="00D10249"/>
    <w:rsid w:val="00D115C3"/>
    <w:rsid w:val="00D11897"/>
    <w:rsid w:val="00D13135"/>
    <w:rsid w:val="00D13E4E"/>
    <w:rsid w:val="00D239A7"/>
    <w:rsid w:val="00D23F47"/>
    <w:rsid w:val="00D335DC"/>
    <w:rsid w:val="00D36E71"/>
    <w:rsid w:val="00D37D87"/>
    <w:rsid w:val="00D40B33"/>
    <w:rsid w:val="00D4318F"/>
    <w:rsid w:val="00D438BF"/>
    <w:rsid w:val="00D440F8"/>
    <w:rsid w:val="00D50F97"/>
    <w:rsid w:val="00D546FF"/>
    <w:rsid w:val="00D55AD5"/>
    <w:rsid w:val="00D576CA"/>
    <w:rsid w:val="00D579DB"/>
    <w:rsid w:val="00D61AF5"/>
    <w:rsid w:val="00D652B5"/>
    <w:rsid w:val="00D66155"/>
    <w:rsid w:val="00D708B0"/>
    <w:rsid w:val="00D77B1D"/>
    <w:rsid w:val="00D8021F"/>
    <w:rsid w:val="00D80383"/>
    <w:rsid w:val="00D823C6"/>
    <w:rsid w:val="00D86CA3"/>
    <w:rsid w:val="00D871CE"/>
    <w:rsid w:val="00D9196D"/>
    <w:rsid w:val="00D92982"/>
    <w:rsid w:val="00D9671A"/>
    <w:rsid w:val="00DA305E"/>
    <w:rsid w:val="00DA5417"/>
    <w:rsid w:val="00DA56E8"/>
    <w:rsid w:val="00DB0A9F"/>
    <w:rsid w:val="00DB377D"/>
    <w:rsid w:val="00DC2D36"/>
    <w:rsid w:val="00DC53EF"/>
    <w:rsid w:val="00DD40E3"/>
    <w:rsid w:val="00DE0696"/>
    <w:rsid w:val="00DE5608"/>
    <w:rsid w:val="00DE58D0"/>
    <w:rsid w:val="00DE654F"/>
    <w:rsid w:val="00DF0B6E"/>
    <w:rsid w:val="00DF15E0"/>
    <w:rsid w:val="00DF30FA"/>
    <w:rsid w:val="00DF37A0"/>
    <w:rsid w:val="00E042B9"/>
    <w:rsid w:val="00E110E7"/>
    <w:rsid w:val="00E11B20"/>
    <w:rsid w:val="00E15AFD"/>
    <w:rsid w:val="00E17FA2"/>
    <w:rsid w:val="00E22330"/>
    <w:rsid w:val="00E30B5A"/>
    <w:rsid w:val="00E3123D"/>
    <w:rsid w:val="00E31461"/>
    <w:rsid w:val="00E31D43"/>
    <w:rsid w:val="00E320FD"/>
    <w:rsid w:val="00E32608"/>
    <w:rsid w:val="00E34188"/>
    <w:rsid w:val="00E34B6E"/>
    <w:rsid w:val="00E35559"/>
    <w:rsid w:val="00E3566C"/>
    <w:rsid w:val="00E3723A"/>
    <w:rsid w:val="00E37860"/>
    <w:rsid w:val="00E446F1"/>
    <w:rsid w:val="00E46886"/>
    <w:rsid w:val="00E47AEF"/>
    <w:rsid w:val="00E53B75"/>
    <w:rsid w:val="00E54E3B"/>
    <w:rsid w:val="00E57565"/>
    <w:rsid w:val="00E63838"/>
    <w:rsid w:val="00E64434"/>
    <w:rsid w:val="00E67C51"/>
    <w:rsid w:val="00E72EFC"/>
    <w:rsid w:val="00E758EC"/>
    <w:rsid w:val="00E820A7"/>
    <w:rsid w:val="00E8234C"/>
    <w:rsid w:val="00E8236C"/>
    <w:rsid w:val="00E83AA9"/>
    <w:rsid w:val="00E85928"/>
    <w:rsid w:val="00E87822"/>
    <w:rsid w:val="00E90395"/>
    <w:rsid w:val="00E90E49"/>
    <w:rsid w:val="00E917F9"/>
    <w:rsid w:val="00E91CBD"/>
    <w:rsid w:val="00E9291C"/>
    <w:rsid w:val="00E93FFE"/>
    <w:rsid w:val="00E94F8A"/>
    <w:rsid w:val="00E95FD5"/>
    <w:rsid w:val="00EA7A41"/>
    <w:rsid w:val="00EB077B"/>
    <w:rsid w:val="00EB4EA2"/>
    <w:rsid w:val="00EC27B9"/>
    <w:rsid w:val="00EC27C6"/>
    <w:rsid w:val="00EC4207"/>
    <w:rsid w:val="00EC5653"/>
    <w:rsid w:val="00EC71CE"/>
    <w:rsid w:val="00ED1006"/>
    <w:rsid w:val="00EF18FE"/>
    <w:rsid w:val="00EF5787"/>
    <w:rsid w:val="00EF60D0"/>
    <w:rsid w:val="00F0528D"/>
    <w:rsid w:val="00F05683"/>
    <w:rsid w:val="00F06C67"/>
    <w:rsid w:val="00F06DFD"/>
    <w:rsid w:val="00F071D1"/>
    <w:rsid w:val="00F07533"/>
    <w:rsid w:val="00F10629"/>
    <w:rsid w:val="00F14B3E"/>
    <w:rsid w:val="00F15FA5"/>
    <w:rsid w:val="00F209B7"/>
    <w:rsid w:val="00F2376F"/>
    <w:rsid w:val="00F243D8"/>
    <w:rsid w:val="00F30828"/>
    <w:rsid w:val="00F313D6"/>
    <w:rsid w:val="00F408EB"/>
    <w:rsid w:val="00F40F0C"/>
    <w:rsid w:val="00F4162F"/>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0BBD"/>
    <w:rsid w:val="00F817CE"/>
    <w:rsid w:val="00F8359F"/>
    <w:rsid w:val="00F8456C"/>
    <w:rsid w:val="00F859D8"/>
    <w:rsid w:val="00F868F5"/>
    <w:rsid w:val="00F9056A"/>
    <w:rsid w:val="00F90F8D"/>
    <w:rsid w:val="00F92782"/>
    <w:rsid w:val="00F93AA9"/>
    <w:rsid w:val="00F96985"/>
    <w:rsid w:val="00F97838"/>
    <w:rsid w:val="00FA2BB3"/>
    <w:rsid w:val="00FB02BA"/>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83A1A"/>
  <w15:chartTrackingRefBased/>
  <w15:docId w15:val="{77388CDC-E170-4F84-8FAC-969A2082D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1F9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11F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11F9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11F9F"/>
    <w:pPr>
      <w:numPr>
        <w:ilvl w:val="2"/>
      </w:numPr>
      <w:spacing w:before="120"/>
      <w:outlineLvl w:val="2"/>
    </w:pPr>
    <w:rPr>
      <w:sz w:val="28"/>
      <w:szCs w:val="28"/>
    </w:rPr>
  </w:style>
  <w:style w:type="paragraph" w:styleId="Heading4">
    <w:name w:val="heading 4"/>
    <w:basedOn w:val="Heading3"/>
    <w:next w:val="Normal"/>
    <w:qFormat/>
    <w:rsid w:val="00011F9F"/>
    <w:pPr>
      <w:numPr>
        <w:ilvl w:val="3"/>
      </w:numPr>
      <w:outlineLvl w:val="3"/>
    </w:pPr>
    <w:rPr>
      <w:sz w:val="24"/>
      <w:szCs w:val="24"/>
    </w:rPr>
  </w:style>
  <w:style w:type="paragraph" w:styleId="Heading5">
    <w:name w:val="heading 5"/>
    <w:basedOn w:val="Heading4"/>
    <w:next w:val="Normal"/>
    <w:qFormat/>
    <w:rsid w:val="00011F9F"/>
    <w:pPr>
      <w:numPr>
        <w:ilvl w:val="4"/>
      </w:numPr>
      <w:outlineLvl w:val="4"/>
    </w:pPr>
    <w:rPr>
      <w:sz w:val="22"/>
      <w:szCs w:val="22"/>
    </w:rPr>
  </w:style>
  <w:style w:type="paragraph" w:styleId="Heading6">
    <w:name w:val="heading 6"/>
    <w:basedOn w:val="Normal"/>
    <w:next w:val="Normal"/>
    <w:qFormat/>
    <w:rsid w:val="00011F9F"/>
    <w:pPr>
      <w:keepNext/>
      <w:keepLines/>
      <w:numPr>
        <w:ilvl w:val="5"/>
        <w:numId w:val="1"/>
      </w:numPr>
      <w:spacing w:before="120"/>
      <w:outlineLvl w:val="5"/>
    </w:pPr>
    <w:rPr>
      <w:rFonts w:cs="Arial"/>
    </w:rPr>
  </w:style>
  <w:style w:type="paragraph" w:styleId="Heading7">
    <w:name w:val="heading 7"/>
    <w:basedOn w:val="Normal"/>
    <w:next w:val="Normal"/>
    <w:qFormat/>
    <w:rsid w:val="00011F9F"/>
    <w:pPr>
      <w:keepNext/>
      <w:keepLines/>
      <w:numPr>
        <w:ilvl w:val="6"/>
        <w:numId w:val="1"/>
      </w:numPr>
      <w:spacing w:before="120"/>
      <w:outlineLvl w:val="6"/>
    </w:pPr>
    <w:rPr>
      <w:rFonts w:cs="Arial"/>
    </w:rPr>
  </w:style>
  <w:style w:type="paragraph" w:styleId="Heading8">
    <w:name w:val="heading 8"/>
    <w:basedOn w:val="Heading7"/>
    <w:next w:val="Normal"/>
    <w:qFormat/>
    <w:rsid w:val="00011F9F"/>
    <w:pPr>
      <w:numPr>
        <w:ilvl w:val="7"/>
      </w:numPr>
      <w:outlineLvl w:val="7"/>
    </w:pPr>
  </w:style>
  <w:style w:type="paragraph" w:styleId="Heading9">
    <w:name w:val="heading 9"/>
    <w:basedOn w:val="Heading8"/>
    <w:next w:val="Normal"/>
    <w:qFormat/>
    <w:rsid w:val="00011F9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11F9F"/>
    <w:pPr>
      <w:spacing w:before="180"/>
      <w:ind w:left="2693" w:hanging="2693"/>
    </w:pPr>
    <w:rPr>
      <w:b w:val="0"/>
      <w:bCs/>
    </w:rPr>
  </w:style>
  <w:style w:type="paragraph" w:styleId="TOC1">
    <w:name w:val="toc 1"/>
    <w:aliases w:val="Observation TOC2"/>
    <w:uiPriority w:val="39"/>
    <w:rsid w:val="00011F9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11F9F"/>
    <w:pPr>
      <w:keepNext/>
      <w:keepLines/>
      <w:spacing w:before="180"/>
      <w:jc w:val="center"/>
    </w:pPr>
  </w:style>
  <w:style w:type="paragraph" w:styleId="Caption">
    <w:name w:val="caption"/>
    <w:basedOn w:val="Normal"/>
    <w:next w:val="Normal"/>
    <w:qFormat/>
    <w:rsid w:val="00011F9F"/>
    <w:pPr>
      <w:spacing w:after="240"/>
      <w:jc w:val="center"/>
    </w:pPr>
    <w:rPr>
      <w:b/>
      <w:bCs/>
    </w:rPr>
  </w:style>
  <w:style w:type="paragraph" w:styleId="TOC5">
    <w:name w:val="toc 5"/>
    <w:aliases w:val="Observation TOC"/>
    <w:basedOn w:val="TOC4"/>
    <w:semiHidden/>
    <w:rsid w:val="00011F9F"/>
    <w:pPr>
      <w:tabs>
        <w:tab w:val="right" w:pos="1701"/>
      </w:tabs>
      <w:ind w:left="1701" w:hanging="1701"/>
    </w:pPr>
  </w:style>
  <w:style w:type="paragraph" w:styleId="TOC4">
    <w:name w:val="toc 4"/>
    <w:basedOn w:val="TOC3"/>
    <w:semiHidden/>
    <w:rsid w:val="00011F9F"/>
    <w:pPr>
      <w:ind w:left="1418" w:hanging="1418"/>
    </w:pPr>
  </w:style>
  <w:style w:type="paragraph" w:styleId="TOC3">
    <w:name w:val="toc 3"/>
    <w:basedOn w:val="TOC2"/>
    <w:semiHidden/>
    <w:rsid w:val="00011F9F"/>
    <w:pPr>
      <w:ind w:left="1134" w:hanging="1134"/>
    </w:pPr>
  </w:style>
  <w:style w:type="paragraph" w:styleId="TOC2">
    <w:name w:val="toc 2"/>
    <w:basedOn w:val="TOC1"/>
    <w:semiHidden/>
    <w:rsid w:val="00011F9F"/>
    <w:pPr>
      <w:keepNext w:val="0"/>
      <w:spacing w:before="0"/>
      <w:ind w:left="851" w:hanging="851"/>
    </w:pPr>
    <w:rPr>
      <w:szCs w:val="20"/>
    </w:rPr>
  </w:style>
  <w:style w:type="paragraph" w:styleId="Index2">
    <w:name w:val="index 2"/>
    <w:basedOn w:val="Index1"/>
    <w:semiHidden/>
    <w:rsid w:val="00011F9F"/>
    <w:pPr>
      <w:ind w:left="284"/>
    </w:pPr>
  </w:style>
  <w:style w:type="paragraph" w:styleId="Index1">
    <w:name w:val="index 1"/>
    <w:basedOn w:val="Normal"/>
    <w:semiHidden/>
    <w:rsid w:val="00011F9F"/>
    <w:pPr>
      <w:keepLines/>
      <w:spacing w:after="0"/>
    </w:pPr>
  </w:style>
  <w:style w:type="paragraph" w:styleId="DocumentMap">
    <w:name w:val="Document Map"/>
    <w:basedOn w:val="Normal"/>
    <w:semiHidden/>
    <w:rsid w:val="00011F9F"/>
    <w:pPr>
      <w:shd w:val="clear" w:color="auto" w:fill="000080"/>
    </w:pPr>
    <w:rPr>
      <w:rFonts w:ascii="Tahoma" w:hAnsi="Tahoma" w:cs="Tahoma"/>
    </w:rPr>
  </w:style>
  <w:style w:type="paragraph" w:styleId="ListNumber2">
    <w:name w:val="List Number 2"/>
    <w:basedOn w:val="ListNumber"/>
    <w:rsid w:val="00011F9F"/>
    <w:pPr>
      <w:ind w:left="851"/>
    </w:pPr>
  </w:style>
  <w:style w:type="paragraph" w:styleId="ListNumber">
    <w:name w:val="List Number"/>
    <w:basedOn w:val="List"/>
    <w:rsid w:val="00011F9F"/>
  </w:style>
  <w:style w:type="paragraph" w:styleId="List">
    <w:name w:val="List"/>
    <w:basedOn w:val="Normal"/>
    <w:rsid w:val="00011F9F"/>
    <w:pPr>
      <w:ind w:left="568" w:hanging="284"/>
    </w:pPr>
  </w:style>
  <w:style w:type="paragraph" w:styleId="Header">
    <w:name w:val="header"/>
    <w:rsid w:val="00011F9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11F9F"/>
    <w:rPr>
      <w:b/>
      <w:bCs/>
      <w:position w:val="6"/>
      <w:sz w:val="16"/>
      <w:szCs w:val="16"/>
    </w:rPr>
  </w:style>
  <w:style w:type="paragraph" w:styleId="FootnoteText">
    <w:name w:val="footnote text"/>
    <w:basedOn w:val="Normal"/>
    <w:semiHidden/>
    <w:rsid w:val="00011F9F"/>
    <w:pPr>
      <w:keepLines/>
      <w:spacing w:after="0"/>
      <w:ind w:left="454" w:hanging="454"/>
    </w:pPr>
    <w:rPr>
      <w:sz w:val="16"/>
      <w:szCs w:val="16"/>
    </w:rPr>
  </w:style>
  <w:style w:type="paragraph" w:customStyle="1" w:styleId="3GPPHeader">
    <w:name w:val="3GPP_Header"/>
    <w:basedOn w:val="Normal"/>
    <w:rsid w:val="00011F9F"/>
    <w:pPr>
      <w:tabs>
        <w:tab w:val="left" w:pos="1701"/>
        <w:tab w:val="right" w:pos="9639"/>
      </w:tabs>
      <w:spacing w:after="240"/>
    </w:pPr>
    <w:rPr>
      <w:b/>
      <w:sz w:val="24"/>
    </w:rPr>
  </w:style>
  <w:style w:type="paragraph" w:styleId="TOC9">
    <w:name w:val="toc 9"/>
    <w:basedOn w:val="TOC8"/>
    <w:semiHidden/>
    <w:rsid w:val="00011F9F"/>
    <w:pPr>
      <w:ind w:left="1418" w:hanging="1418"/>
    </w:pPr>
  </w:style>
  <w:style w:type="paragraph" w:styleId="TOC6">
    <w:name w:val="toc 6"/>
    <w:basedOn w:val="TOC5"/>
    <w:next w:val="Normal"/>
    <w:semiHidden/>
    <w:rsid w:val="00011F9F"/>
    <w:pPr>
      <w:ind w:left="1985" w:hanging="1985"/>
    </w:pPr>
  </w:style>
  <w:style w:type="paragraph" w:styleId="TOC7">
    <w:name w:val="toc 7"/>
    <w:basedOn w:val="TOC6"/>
    <w:next w:val="Normal"/>
    <w:semiHidden/>
    <w:rsid w:val="00011F9F"/>
    <w:pPr>
      <w:ind w:left="2268" w:hanging="2268"/>
    </w:pPr>
  </w:style>
  <w:style w:type="paragraph" w:styleId="ListBullet2">
    <w:name w:val="List Bullet 2"/>
    <w:basedOn w:val="ListBullet"/>
    <w:rsid w:val="00011F9F"/>
    <w:pPr>
      <w:numPr>
        <w:numId w:val="6"/>
      </w:numPr>
    </w:pPr>
  </w:style>
  <w:style w:type="paragraph" w:styleId="ListBullet">
    <w:name w:val="List Bullet"/>
    <w:basedOn w:val="BodyText"/>
    <w:rsid w:val="00011F9F"/>
    <w:pPr>
      <w:numPr>
        <w:numId w:val="5"/>
      </w:numPr>
    </w:pPr>
  </w:style>
  <w:style w:type="paragraph" w:styleId="ListBullet3">
    <w:name w:val="List Bullet 3"/>
    <w:basedOn w:val="ListBullet2"/>
    <w:rsid w:val="00011F9F"/>
    <w:pPr>
      <w:numPr>
        <w:numId w:val="7"/>
      </w:numPr>
    </w:pPr>
  </w:style>
  <w:style w:type="paragraph" w:customStyle="1" w:styleId="EQ">
    <w:name w:val="EQ"/>
    <w:basedOn w:val="Normal"/>
    <w:next w:val="Normal"/>
    <w:rsid w:val="00011F9F"/>
    <w:pPr>
      <w:keepLines/>
      <w:tabs>
        <w:tab w:val="center" w:pos="4536"/>
        <w:tab w:val="right" w:pos="9072"/>
      </w:tabs>
      <w:spacing w:after="180"/>
      <w:jc w:val="left"/>
    </w:pPr>
    <w:rPr>
      <w:noProof/>
      <w:lang w:eastAsia="en-US"/>
    </w:rPr>
  </w:style>
  <w:style w:type="paragraph" w:styleId="List2">
    <w:name w:val="List 2"/>
    <w:basedOn w:val="List"/>
    <w:rsid w:val="00011F9F"/>
    <w:pPr>
      <w:ind w:left="851"/>
    </w:pPr>
  </w:style>
  <w:style w:type="paragraph" w:styleId="List3">
    <w:name w:val="List 3"/>
    <w:basedOn w:val="List2"/>
    <w:rsid w:val="00011F9F"/>
    <w:pPr>
      <w:ind w:left="1135"/>
    </w:pPr>
  </w:style>
  <w:style w:type="paragraph" w:styleId="List4">
    <w:name w:val="List 4"/>
    <w:basedOn w:val="List3"/>
    <w:rsid w:val="00011F9F"/>
    <w:pPr>
      <w:ind w:left="1418"/>
    </w:pPr>
  </w:style>
  <w:style w:type="paragraph" w:styleId="List5">
    <w:name w:val="List 5"/>
    <w:basedOn w:val="List4"/>
    <w:rsid w:val="00011F9F"/>
    <w:pPr>
      <w:ind w:left="1702"/>
    </w:pPr>
  </w:style>
  <w:style w:type="paragraph" w:customStyle="1" w:styleId="EditorsNote">
    <w:name w:val="Editor's Note"/>
    <w:basedOn w:val="Normal"/>
    <w:rsid w:val="00011F9F"/>
    <w:pPr>
      <w:keepLines/>
      <w:spacing w:after="180"/>
      <w:ind w:left="1135" w:hanging="851"/>
      <w:jc w:val="left"/>
    </w:pPr>
    <w:rPr>
      <w:color w:val="FF0000"/>
      <w:lang w:eastAsia="en-US"/>
    </w:rPr>
  </w:style>
  <w:style w:type="paragraph" w:styleId="ListBullet4">
    <w:name w:val="List Bullet 4"/>
    <w:basedOn w:val="ListBullet3"/>
    <w:rsid w:val="00011F9F"/>
    <w:pPr>
      <w:numPr>
        <w:numId w:val="8"/>
      </w:numPr>
    </w:pPr>
  </w:style>
  <w:style w:type="paragraph" w:styleId="ListBullet5">
    <w:name w:val="List Bullet 5"/>
    <w:basedOn w:val="ListBullet4"/>
    <w:rsid w:val="00011F9F"/>
    <w:pPr>
      <w:numPr>
        <w:numId w:val="4"/>
      </w:numPr>
    </w:pPr>
  </w:style>
  <w:style w:type="paragraph" w:styleId="Footer">
    <w:name w:val="footer"/>
    <w:basedOn w:val="Header"/>
    <w:semiHidden/>
    <w:rsid w:val="00011F9F"/>
    <w:pPr>
      <w:jc w:val="center"/>
    </w:pPr>
    <w:rPr>
      <w:i/>
      <w:iCs/>
    </w:rPr>
  </w:style>
  <w:style w:type="paragraph" w:customStyle="1" w:styleId="Reference">
    <w:name w:val="Reference"/>
    <w:basedOn w:val="Normal"/>
    <w:rsid w:val="00011F9F"/>
    <w:pPr>
      <w:numPr>
        <w:numId w:val="2"/>
      </w:numPr>
    </w:pPr>
  </w:style>
  <w:style w:type="paragraph" w:styleId="BalloonText">
    <w:name w:val="Balloon Text"/>
    <w:basedOn w:val="Normal"/>
    <w:semiHidden/>
    <w:rsid w:val="00011F9F"/>
    <w:rPr>
      <w:rFonts w:ascii="Tahoma" w:hAnsi="Tahoma" w:cs="Tahoma"/>
      <w:sz w:val="16"/>
      <w:szCs w:val="16"/>
    </w:rPr>
  </w:style>
  <w:style w:type="character" w:styleId="PageNumber">
    <w:name w:val="page number"/>
    <w:basedOn w:val="DefaultParagraphFont"/>
    <w:semiHidden/>
    <w:rsid w:val="00011F9F"/>
  </w:style>
  <w:style w:type="paragraph" w:styleId="BodyText">
    <w:name w:val="Body Text"/>
    <w:basedOn w:val="Normal"/>
    <w:link w:val="BodyTextChar"/>
    <w:rsid w:val="00011F9F"/>
  </w:style>
  <w:style w:type="character" w:styleId="Hyperlink">
    <w:name w:val="Hyperlink"/>
    <w:uiPriority w:val="99"/>
    <w:rsid w:val="00011F9F"/>
    <w:rPr>
      <w:color w:val="0000FF"/>
      <w:u w:val="single"/>
      <w:lang w:val="en-GB"/>
    </w:rPr>
  </w:style>
  <w:style w:type="character" w:styleId="FollowedHyperlink">
    <w:name w:val="FollowedHyperlink"/>
    <w:semiHidden/>
    <w:rsid w:val="00011F9F"/>
    <w:rPr>
      <w:color w:val="FF0000"/>
      <w:u w:val="single"/>
    </w:rPr>
  </w:style>
  <w:style w:type="character" w:styleId="CommentReference">
    <w:name w:val="annotation reference"/>
    <w:semiHidden/>
    <w:rsid w:val="00011F9F"/>
    <w:rPr>
      <w:sz w:val="16"/>
      <w:szCs w:val="16"/>
    </w:rPr>
  </w:style>
  <w:style w:type="paragraph" w:styleId="CommentText">
    <w:name w:val="annotation text"/>
    <w:basedOn w:val="Normal"/>
    <w:semiHidden/>
    <w:rsid w:val="00011F9F"/>
  </w:style>
  <w:style w:type="paragraph" w:styleId="CommentSubject">
    <w:name w:val="annotation subject"/>
    <w:basedOn w:val="CommentText"/>
    <w:next w:val="CommentText"/>
    <w:semiHidden/>
    <w:rsid w:val="00011F9F"/>
    <w:rPr>
      <w:b/>
      <w:bCs/>
    </w:rPr>
  </w:style>
  <w:style w:type="character" w:customStyle="1" w:styleId="Heading1Char">
    <w:name w:val="Heading 1 Char"/>
    <w:link w:val="Heading1"/>
    <w:rsid w:val="00011F9F"/>
    <w:rPr>
      <w:rFonts w:ascii="Arial" w:hAnsi="Arial" w:cs="Arial"/>
      <w:sz w:val="36"/>
      <w:szCs w:val="36"/>
      <w:lang w:val="en-GB" w:eastAsia="zh-CN"/>
    </w:rPr>
  </w:style>
  <w:style w:type="paragraph" w:customStyle="1" w:styleId="B1">
    <w:name w:val="B1"/>
    <w:basedOn w:val="List"/>
    <w:rsid w:val="00011F9F"/>
    <w:pPr>
      <w:spacing w:after="180"/>
      <w:jc w:val="left"/>
    </w:pPr>
    <w:rPr>
      <w:lang w:eastAsia="en-US"/>
    </w:rPr>
  </w:style>
  <w:style w:type="paragraph" w:customStyle="1" w:styleId="B2">
    <w:name w:val="B2"/>
    <w:basedOn w:val="List2"/>
    <w:rsid w:val="00011F9F"/>
    <w:pPr>
      <w:spacing w:after="180"/>
      <w:jc w:val="left"/>
    </w:pPr>
    <w:rPr>
      <w:lang w:eastAsia="en-US"/>
    </w:rPr>
  </w:style>
  <w:style w:type="paragraph" w:customStyle="1" w:styleId="B3">
    <w:name w:val="B3"/>
    <w:basedOn w:val="List3"/>
    <w:rsid w:val="00011F9F"/>
    <w:pPr>
      <w:spacing w:after="180"/>
      <w:jc w:val="left"/>
    </w:pPr>
    <w:rPr>
      <w:lang w:eastAsia="en-US"/>
    </w:rPr>
  </w:style>
  <w:style w:type="paragraph" w:customStyle="1" w:styleId="B4">
    <w:name w:val="B4"/>
    <w:basedOn w:val="List4"/>
    <w:rsid w:val="00011F9F"/>
    <w:pPr>
      <w:spacing w:after="180"/>
      <w:jc w:val="left"/>
    </w:pPr>
    <w:rPr>
      <w:lang w:eastAsia="en-US"/>
    </w:rPr>
  </w:style>
  <w:style w:type="paragraph" w:customStyle="1" w:styleId="Proposal">
    <w:name w:val="Proposal"/>
    <w:basedOn w:val="Normal"/>
    <w:rsid w:val="00011F9F"/>
    <w:pPr>
      <w:numPr>
        <w:numId w:val="3"/>
      </w:numPr>
      <w:tabs>
        <w:tab w:val="clear" w:pos="1304"/>
        <w:tab w:val="left" w:pos="1701"/>
      </w:tabs>
      <w:ind w:left="1701" w:hanging="1701"/>
    </w:pPr>
    <w:rPr>
      <w:b/>
      <w:bCs/>
    </w:rPr>
  </w:style>
  <w:style w:type="character" w:customStyle="1" w:styleId="BodyTextChar">
    <w:name w:val="Body Text Char"/>
    <w:link w:val="BodyText"/>
    <w:rsid w:val="00011F9F"/>
    <w:rPr>
      <w:rFonts w:ascii="Arial" w:hAnsi="Arial"/>
      <w:lang w:val="en-GB" w:eastAsia="zh-CN"/>
    </w:rPr>
  </w:style>
  <w:style w:type="paragraph" w:customStyle="1" w:styleId="B5">
    <w:name w:val="B5"/>
    <w:basedOn w:val="List5"/>
    <w:rsid w:val="00011F9F"/>
    <w:pPr>
      <w:spacing w:after="180"/>
      <w:jc w:val="left"/>
    </w:pPr>
    <w:rPr>
      <w:lang w:eastAsia="en-US"/>
    </w:rPr>
  </w:style>
  <w:style w:type="paragraph" w:customStyle="1" w:styleId="EX">
    <w:name w:val="EX"/>
    <w:basedOn w:val="Normal"/>
    <w:rsid w:val="00011F9F"/>
    <w:pPr>
      <w:keepLines/>
      <w:spacing w:after="180"/>
      <w:ind w:left="1702" w:hanging="1418"/>
      <w:jc w:val="left"/>
    </w:pPr>
    <w:rPr>
      <w:lang w:eastAsia="en-US"/>
    </w:rPr>
  </w:style>
  <w:style w:type="paragraph" w:customStyle="1" w:styleId="EW">
    <w:name w:val="EW"/>
    <w:basedOn w:val="EX"/>
    <w:rsid w:val="00011F9F"/>
    <w:pPr>
      <w:spacing w:after="0"/>
    </w:pPr>
  </w:style>
  <w:style w:type="paragraph" w:customStyle="1" w:styleId="TAL">
    <w:name w:val="TAL"/>
    <w:basedOn w:val="Normal"/>
    <w:rsid w:val="00011F9F"/>
    <w:pPr>
      <w:keepNext/>
      <w:keepLines/>
      <w:spacing w:after="0"/>
      <w:jc w:val="left"/>
    </w:pPr>
    <w:rPr>
      <w:sz w:val="18"/>
      <w:lang w:eastAsia="en-US"/>
    </w:rPr>
  </w:style>
  <w:style w:type="paragraph" w:customStyle="1" w:styleId="TAC">
    <w:name w:val="TAC"/>
    <w:basedOn w:val="TAL"/>
    <w:rsid w:val="00011F9F"/>
    <w:pPr>
      <w:jc w:val="center"/>
    </w:pPr>
  </w:style>
  <w:style w:type="paragraph" w:customStyle="1" w:styleId="TAH">
    <w:name w:val="TAH"/>
    <w:basedOn w:val="TAC"/>
    <w:rsid w:val="00011F9F"/>
    <w:rPr>
      <w:b/>
    </w:rPr>
  </w:style>
  <w:style w:type="paragraph" w:customStyle="1" w:styleId="TAN">
    <w:name w:val="TAN"/>
    <w:basedOn w:val="TAL"/>
    <w:rsid w:val="00011F9F"/>
    <w:pPr>
      <w:ind w:left="851" w:hanging="851"/>
    </w:pPr>
  </w:style>
  <w:style w:type="paragraph" w:customStyle="1" w:styleId="TAR">
    <w:name w:val="TAR"/>
    <w:basedOn w:val="TAL"/>
    <w:rsid w:val="00011F9F"/>
    <w:pPr>
      <w:jc w:val="right"/>
    </w:pPr>
  </w:style>
  <w:style w:type="paragraph" w:customStyle="1" w:styleId="TH">
    <w:name w:val="TH"/>
    <w:basedOn w:val="Normal"/>
    <w:rsid w:val="00011F9F"/>
    <w:pPr>
      <w:keepNext/>
      <w:keepLines/>
      <w:spacing w:before="60" w:after="180"/>
      <w:jc w:val="center"/>
    </w:pPr>
    <w:rPr>
      <w:b/>
      <w:lang w:eastAsia="en-US"/>
    </w:rPr>
  </w:style>
  <w:style w:type="paragraph" w:customStyle="1" w:styleId="TF">
    <w:name w:val="TF"/>
    <w:basedOn w:val="TH"/>
    <w:rsid w:val="00011F9F"/>
    <w:pPr>
      <w:keepNext w:val="0"/>
      <w:spacing w:before="0" w:after="240"/>
    </w:pPr>
  </w:style>
  <w:style w:type="paragraph" w:customStyle="1" w:styleId="TT">
    <w:name w:val="TT"/>
    <w:basedOn w:val="Heading1"/>
    <w:next w:val="Normal"/>
    <w:rsid w:val="00011F9F"/>
    <w:pPr>
      <w:numPr>
        <w:numId w:val="0"/>
      </w:numPr>
      <w:ind w:left="1134" w:hanging="1134"/>
      <w:outlineLvl w:val="9"/>
    </w:pPr>
    <w:rPr>
      <w:rFonts w:cs="Times New Roman"/>
      <w:szCs w:val="20"/>
      <w:lang w:eastAsia="en-US"/>
    </w:rPr>
  </w:style>
  <w:style w:type="paragraph" w:customStyle="1" w:styleId="ZA">
    <w:name w:val="ZA"/>
    <w:rsid w:val="00011F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11F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11F9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11F9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11F9F"/>
  </w:style>
  <w:style w:type="paragraph" w:customStyle="1" w:styleId="ZH">
    <w:name w:val="ZH"/>
    <w:rsid w:val="00011F9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11F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11F9F"/>
    <w:pPr>
      <w:framePr w:hRule="auto" w:wrap="notBeside" w:y="852"/>
    </w:pPr>
    <w:rPr>
      <w:i w:val="0"/>
      <w:sz w:val="40"/>
    </w:rPr>
  </w:style>
  <w:style w:type="paragraph" w:customStyle="1" w:styleId="ZU">
    <w:name w:val="ZU"/>
    <w:rsid w:val="00011F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11F9F"/>
    <w:pPr>
      <w:framePr w:wrap="notBeside" w:y="16161"/>
    </w:pPr>
  </w:style>
  <w:style w:type="paragraph" w:customStyle="1" w:styleId="FP">
    <w:name w:val="FP"/>
    <w:basedOn w:val="Normal"/>
    <w:rsid w:val="00011F9F"/>
    <w:pPr>
      <w:spacing w:after="0"/>
      <w:jc w:val="left"/>
    </w:pPr>
    <w:rPr>
      <w:lang w:eastAsia="en-US"/>
    </w:rPr>
  </w:style>
  <w:style w:type="paragraph" w:customStyle="1" w:styleId="Observation">
    <w:name w:val="Observation"/>
    <w:basedOn w:val="Proposal"/>
    <w:qFormat/>
    <w:rsid w:val="00011F9F"/>
    <w:pPr>
      <w:numPr>
        <w:numId w:val="13"/>
      </w:numPr>
      <w:ind w:left="1701" w:hanging="1701"/>
    </w:pPr>
  </w:style>
  <w:style w:type="paragraph" w:styleId="TableofFigures">
    <w:name w:val="table of figures"/>
    <w:basedOn w:val="Normal"/>
    <w:next w:val="Normal"/>
    <w:uiPriority w:val="99"/>
    <w:rsid w:val="00011F9F"/>
    <w:pPr>
      <w:ind w:left="1418" w:hanging="1418"/>
      <w:jc w:val="left"/>
    </w:pPr>
    <w:rPr>
      <w:b/>
    </w:rPr>
  </w:style>
  <w:style w:type="paragraph" w:customStyle="1" w:styleId="Doc-text2">
    <w:name w:val="Doc-text2"/>
    <w:basedOn w:val="Normal"/>
    <w:link w:val="Doc-text2Char"/>
    <w:qFormat/>
    <w:rsid w:val="00011F9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11F9F"/>
    <w:rPr>
      <w:rFonts w:ascii="Arial" w:eastAsia="MS Mincho" w:hAnsi="Arial"/>
      <w:szCs w:val="24"/>
      <w:lang w:val="en-GB" w:eastAsia="en-GB"/>
    </w:rPr>
  </w:style>
  <w:style w:type="paragraph" w:styleId="ListParagraph">
    <w:name w:val="List Paragraph"/>
    <w:basedOn w:val="Normal"/>
    <w:uiPriority w:val="34"/>
    <w:qFormat/>
    <w:rsid w:val="00011F9F"/>
    <w:pPr>
      <w:ind w:left="720"/>
      <w:contextualSpacing/>
    </w:pPr>
  </w:style>
  <w:style w:type="table" w:styleId="TableGrid">
    <w:name w:val="Table Grid"/>
    <w:basedOn w:val="TableNormal"/>
    <w:uiPriority w:val="39"/>
    <w:rsid w:val="00C861DD"/>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Contributions\R2-17xxxxx%20-%20Aerial%20UE%20capability%20aspec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5NUHHDQN7SK2-1476151046-26760</_dlc_DocId>
    <_dlc_DocIdUrl xmlns="f166a696-7b5b-4ccd-9f0c-ffde0cceec81">
      <Url>https://ericsson.sharepoint.com/sites/star/_layouts/15/DocIdRedir.aspx?ID=5NUHHDQN7SK2-1476151046-26760</Url>
      <Description>5NUHHDQN7SK2-1476151046-26760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4A1A3173-9D5A-447D-99CE-DEDD91AA4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0C7650C9-71D1-48E2-A5D5-B6A0C88E8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Aerial UE capability aspects</Template>
  <TotalTime>93</TotalTime>
  <Pages>2</Pages>
  <Words>527</Words>
  <Characters>4274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Jonas Sedin</dc:creator>
  <cp:keywords>TDoc; Ericsson; 3GPP</cp:keywords>
  <cp:lastModifiedBy>Ericsson (HelkaLiina)</cp:lastModifiedBy>
  <cp:revision>84</cp:revision>
  <cp:lastPrinted>2008-01-31T16:09:00Z</cp:lastPrinted>
  <dcterms:created xsi:type="dcterms:W3CDTF">2018-08-03T07:52:00Z</dcterms:created>
  <dcterms:modified xsi:type="dcterms:W3CDTF">2018-08-09T12:20:00Z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cc1b88dc-09f4-477b-8ad3-4f072a598461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